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47CA32" Type="http://schemas.openxmlformats.org/officeDocument/2006/relationships/officeDocument" Target="/word/document.xml" /><Relationship Id="coreR947CA32" Type="http://schemas.openxmlformats.org/package/2006/relationships/metadata/core-properties" Target="/docProps/core.xml" /><Relationship Id="customR947CA3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ve strojírenské výrobě (kód: 23-007-E)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pracovník ve strojírenství a automobilovém průmyslu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Ruční obrábění a zpracovávání kovových materiálů a plastů řezáním, stříháním, pilováním, vrtáním, broušením a ohýbáním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2</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Ohýbání a zkružování plechů, trubek, kovových tyčí a profilů na strojních ohýbačkách, zkružovacích aj. strojích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Rovnání kovů pod lisem a pomocí ohřevu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Tmelení ploch a broušení tmelených ploch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Ruční nanášení barvy na kovové materiály máčením, štětcem nebo válečkem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Dělník/dělnice ve strojírenské výrobě, 15.6.2026 3:55:14</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206"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vhodné pracovní oblečení.</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dělníka ve strojírenské výrobě v podmínkách sériové výroby, kde zaučení pracovníci provádějí ruční úpravu strojních součástí.</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Typickými příklady prací je obrušování svarů nebo úprava dílců po vykování nebo snýtování, nanášení ochranných nátěrů, past apod. na dílce před tepelným zpracováním, rovnání dílců, nahřívání bodů nebo plechů plamenem, rovnání nekalených dílců kladivem nebo pod lisem, stříhání plechů na tabulových nůžkách s používáním dorazů nebo stříhání nekovových materiálů, ruční a strojní obrábění materiálů na pilách, frézkách, bruskách, vrtačkách.</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Podmínky zkoušky požadují orientaci v obsluze jednoduchých ručních zařízení a provádění jednodušších operací na klasických strojích.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splnění požadavků praktické části zkoušky nelze považovat např. pouhé obrobení daného dílce, ale je nutná vizuální kontrola obrobku a praktické měření základních rozměrů.</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ke kvalitě zhotoveného produktu i k časovému hledisku zvládání operací.</w:t>
      </w:r>
    </w:p>
    <w:p>
      <w:pPr>
        <w:pStyle w:val="P21"/>
        <w:framePr w:w="7654" w:h="331" w:hRule="exact" w:wrap="none" w:vAnchor="page" w:hAnchor="margin" w:x="28" w:y="15940"/>
        <w:rPr>
          <w:rStyle w:val="C16"/>
          <w:rtl w:val="0"/>
        </w:rPr>
      </w:pPr>
      <w:r>
        <w:rPr>
          <w:rStyle w:val="C16"/>
          <w:rtl w:val="0"/>
        </w:rPr>
        <w:t>Dělník/dělnice ve strojírenské výrobě, 15.6.2026 3:55:14</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strojírenství, ustavená a licencovaná pro tuto činnost HK ČR a SP ČR.</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 Vyšší odborná škola, Střední průmyslová škola automobilní a technická České Budějovice</w:t>
      </w:r>
    </w:p>
    <w:p>
      <w:pPr>
        <w:pStyle w:val="P21"/>
        <w:framePr w:w="7654" w:h="331" w:hRule="exact" w:wrap="none" w:vAnchor="page" w:hAnchor="margin" w:x="28" w:y="15940"/>
        <w:rPr>
          <w:rStyle w:val="C16"/>
          <w:rtl w:val="0"/>
        </w:rPr>
      </w:pPr>
      <w:r>
        <w:rPr>
          <w:rStyle w:val="C16"/>
          <w:rtl w:val="0"/>
        </w:rPr>
        <w:t>Dělník/dělnice ve strojírenské výrobě, 15.6.2026 3:55:14</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