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1C730" Type="http://schemas.openxmlformats.org/officeDocument/2006/relationships/officeDocument" Target="/word/document.xml" /><Relationship Id="coreRB71C730" Type="http://schemas.openxmlformats.org/package/2006/relationships/metadata/core-properties" Target="/docProps/core.xml" /><Relationship Id="customRB71C7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Stykové, bodové, tlakové a švové svařování, pájení (např. měkké, tvrdé)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Ohýbání a zkružování plechů, trubek, kovových tyčí a profilů na strojních ohýbačkách, zkružovacích aj.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Rovnání kovů pod lisem a pomocí ohřevu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nanášení barvy na kovové odlitky, máčením nebo štětcem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v navazující činnosti vedoucí k ucelenému opravárenskému úkonu. 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nářadí, pomůcky (viz také dále část Požadavky na materiálně technické zázemí autorizované osoby)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ve strojírenské výrobě, 29.10.2026 10:02:32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