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79B9BF" Type="http://schemas.openxmlformats.org/officeDocument/2006/relationships/officeDocument" Target="/word/document.xml" /><Relationship Id="coreR3979B9BF" Type="http://schemas.openxmlformats.org/package/2006/relationships/metadata/core-properties" Target="/docProps/core.xml" /><Relationship Id="customR3979B9B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ve strojírenské výrobě (kód: 23-007-E)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Pomocný pracovník ve strojírenství a automobilovém průmyslu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Ruční obrábění a zpracovávání kovových materiálů a plastů řezáním, stříháním, pilováním, vrtáním, broušením a ohýbáním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2</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Ohýbání a zkružování plechů, trubek, kovových tyčí a profilů na strojních ohýbačkách, zkružovacích aj. strojích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2</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Rovnání kovů pod lisem a pomocí ohřevu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2</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Tmelení ploch a broušení tmelených ploch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2</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Ruční nanášení barvy na kovové materiály máčením, štětcem nebo válečkem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2</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Dělník/dělnice ve strojírenské výrobě, 11.9.2026 17:41:41</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5206"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vhodné pracovní oblečení.</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dělníka ve strojírenské výrobě v podmínkách sériové výroby, kde zaučení pracovníci provádějí ruční úpravu strojních součástí.</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Typickými příklady prací je obrušování svarů nebo úprava dílců po vykování nebo snýtování, nanášení ochranných nátěrů, past apod. na dílce před tepelným zpracováním, rovnání dílců, nahřívání bodů nebo plechů plamenem, rovnání nekalených dílců kladivem nebo pod lisem, stříhání plechů na tabulových nůžkách s používáním dorazů nebo stříhání nekovových materiálů, ruční a strojní obrábění materiálů na pilách, frézkách, bruskách, vrtačkách.</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Podmínky zkoušky požadují orientaci v obsluze jednoduchých ručních zařízení a provádění jednodušších operací na klasických strojích. </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splnění požadavků praktické části zkoušky nelze považovat např. pouhé obrobení daného dílce, ale je nutná vizuální kontrola obrobku a praktické měření základních rozměrů.</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zhotoveného produktu i k časovému hledisku zvládání operací.</w:t>
      </w:r>
    </w:p>
    <w:p>
      <w:pPr>
        <w:pStyle w:val="P21"/>
        <w:framePr w:w="7654" w:h="331" w:hRule="exact" w:wrap="none" w:vAnchor="page" w:hAnchor="margin" w:x="28" w:y="15940"/>
        <w:rPr>
          <w:rStyle w:val="C16"/>
          <w:rtl w:val="0"/>
        </w:rPr>
      </w:pPr>
      <w:r>
        <w:rPr>
          <w:rStyle w:val="C16"/>
          <w:rtl w:val="0"/>
        </w:rPr>
        <w:t>Dělník/dělnice ve strojírenské výrobě, 11.9.2026 17:41:41</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strojírenství, ustavená a licencovaná pro tuto činnost HK ČR a SP ČR.</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 Vyšší odborná škola, Střední průmyslová škola automobilní a technická České Budějovice</w:t>
      </w:r>
    </w:p>
    <w:p>
      <w:pPr>
        <w:pStyle w:val="P21"/>
        <w:framePr w:w="7654" w:h="331" w:hRule="exact" w:wrap="none" w:vAnchor="page" w:hAnchor="margin" w:x="28" w:y="15940"/>
        <w:rPr>
          <w:rStyle w:val="C16"/>
          <w:rtl w:val="0"/>
        </w:rPr>
      </w:pPr>
      <w:r>
        <w:rPr>
          <w:rStyle w:val="C16"/>
          <w:rtl w:val="0"/>
        </w:rPr>
        <w:t>Dělník/dělnice ve strojírenské výrobě, 11.9.2026 17:41:41</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