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9DD2A" Type="http://schemas.openxmlformats.org/officeDocument/2006/relationships/officeDocument" Target="/word/document.xml" /><Relationship Id="coreR2499DD2A" Type="http://schemas.openxmlformats.org/package/2006/relationships/metadata/core-properties" Target="/docProps/core.xml" /><Relationship Id="customR2499DD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Diagnostikování poruch strojů, zařízení a výrobních linek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Znát využití bezdemontážních diagnostických metod při posuzování technického stavu strojů a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Pracovat se základními diagnostickými přístroji a podmínkami pro jejich použití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Vyhodnotit technický stav a navrhnout postup odstranění zjištěných závad na základě výsledků diagnostických měření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Využívat účelně diagnostickou techniku a metody jako prostředek racionalizace a zkvalitnění servisních a opravárenských prací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9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20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2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2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6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9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Nádrhy se stupnicí, popř. jednoduché nádrhy a výškoměr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