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D9DFA1" Type="http://schemas.openxmlformats.org/officeDocument/2006/relationships/officeDocument" Target="/word/document.xml" /><Relationship Id="coreR67D9DFA1" Type="http://schemas.openxmlformats.org/package/2006/relationships/metadata/core-properties" Target="/docProps/core.xml" /><Relationship Id="customR67D9DF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ocelových konstrukcí (kód: 23-002-H)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927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 a montér; Strojní zámečník; Mechanik báňské záchranné služby; Montér vzduchotechniky; Mechanik opravář; Montér točivých strojů; Důlní zámečník; Provozní zámečník; Montér ocelových konstrukcí</w:t>
      </w:r>
    </w:p>
    <w:p>
      <w:pPr>
        <w:pStyle w:val="P5"/>
        <w:framePr w:w="4026" w:h="248" w:hRule="exact" w:wrap="none" w:vAnchor="page" w:hAnchor="margin" w:x="28" w:y="4711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711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5412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922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993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922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993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62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355"/>
        <w:rPr>
          <w:rStyle w:val="C11"/>
          <w:rtl w:val="0"/>
        </w:rPr>
      </w:pPr>
      <w:r>
        <w:rPr>
          <w:rStyle w:val="C11"/>
          <w:rtl w:val="0"/>
        </w:rPr>
        <w:t>Orientace v technologickém postupu, normách a v technických podkladech pro montáž a opravy ocelových konstrukcí</w:t>
      </w:r>
    </w:p>
    <w:p>
      <w:pPr>
        <w:pStyle w:val="P14"/>
        <w:framePr w:w="805" w:h="607" w:hRule="exact" w:wrap="none" w:vAnchor="page" w:hAnchor="margin" w:x="9916" w:y="62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3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0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961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dílů pro provádění montáže a demontáže ocelových konstrukcí</w:t>
      </w:r>
    </w:p>
    <w:p>
      <w:pPr>
        <w:pStyle w:val="P18"/>
        <w:framePr w:w="805" w:h="607" w:hRule="exact" w:wrap="none" w:vAnchor="page" w:hAnchor="margin" w:x="9916" w:y="690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96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568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dílů a jakosti povrchu</w:t>
      </w:r>
    </w:p>
    <w:p>
      <w:pPr>
        <w:pStyle w:val="P14"/>
        <w:framePr w:w="805" w:h="376" w:hRule="exact" w:wrap="none" w:vAnchor="page" w:hAnchor="margin" w:x="9916" w:y="75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5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8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945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a nekovových materiálů řezáním, stříháním, pilováním, vrtáním, broušením, ohýbáním</w:t>
      </w:r>
    </w:p>
    <w:p>
      <w:pPr>
        <w:pStyle w:val="P18"/>
        <w:framePr w:w="805" w:h="607" w:hRule="exact" w:wrap="none" w:vAnchor="page" w:hAnchor="margin" w:x="9916" w:y="78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9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49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551"/>
        <w:rPr>
          <w:rStyle w:val="C11"/>
          <w:rtl w:val="0"/>
        </w:rPr>
      </w:pPr>
      <w:r>
        <w:rPr>
          <w:rStyle w:val="C11"/>
          <w:rtl w:val="0"/>
        </w:rPr>
        <w:t>Používání různých prostředků pro manipulaci s ocelovými konstrukcemi a jejich částmi</w:t>
      </w:r>
    </w:p>
    <w:p>
      <w:pPr>
        <w:pStyle w:val="P14"/>
        <w:framePr w:w="805" w:h="376" w:hRule="exact" w:wrap="none" w:vAnchor="page" w:hAnchor="margin" w:x="9916" w:y="849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55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8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28"/>
        <w:rPr>
          <w:rStyle w:val="C13"/>
          <w:rtl w:val="0"/>
        </w:rPr>
      </w:pPr>
      <w:r>
        <w:rPr>
          <w:rStyle w:val="C13"/>
          <w:rtl w:val="0"/>
        </w:rPr>
        <w:t>Sestavování, montáž a demontáž ocelových konstrukcí</w:t>
      </w:r>
    </w:p>
    <w:p>
      <w:pPr>
        <w:pStyle w:val="P18"/>
        <w:framePr w:w="805" w:h="376" w:hRule="exact" w:wrap="none" w:vAnchor="page" w:hAnchor="margin" w:x="9916" w:y="88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4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15"/>
        <w:rPr>
          <w:rStyle w:val="C15"/>
          <w:rtl w:val="0"/>
        </w:rPr>
      </w:pPr>
      <w:r>
        <w:rPr>
          <w:rStyle w:val="C15"/>
          <w:rtl w:val="0"/>
        </w:rPr>
        <w:t>Standard je platný od: 29.06.2015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a paličským průkazem pro svařování kovů podle ČSN 05 07 05 nebo dle ČSN EN 281-1 a platným vazačským průkazem.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ZVVZ-Enven Engineering,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ocelových konstrukcí, 7.11.2026 0:22:42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