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848BD" Type="http://schemas.openxmlformats.org/officeDocument/2006/relationships/officeDocument" Target="/word/document.xml" /><Relationship Id="coreRB1848BD" Type="http://schemas.openxmlformats.org/package/2006/relationships/metadata/core-properties" Target="/docProps/core.xml" /><Relationship Id="customRB184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607" w:hRule="exact" w:wrap="none" w:vAnchor="page" w:hAnchor="margin" w:x="45" w:y="6299"/>
        <w:rPr>
          <w:rStyle w:val="C3"/>
          <w:rtl w:val="0"/>
        </w:rPr>
      </w:pPr>
    </w:p>
    <w:p>
      <w:pPr>
        <w:pStyle w:val="P13"/>
        <w:framePr w:w="9774" w:h="480" w:hRule="exact" w:wrap="none" w:vAnchor="page" w:hAnchor="margin" w:x="71" w:y="6355"/>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6299"/>
        <w:rPr>
          <w:rStyle w:val="C3"/>
          <w:rtl w:val="0"/>
        </w:rPr>
      </w:pPr>
    </w:p>
    <w:p>
      <w:pPr>
        <w:pStyle w:val="P15"/>
        <w:framePr w:w="723" w:h="480" w:hRule="exact" w:wrap="none" w:vAnchor="page" w:hAnchor="margin" w:x="9972" w:y="6355"/>
        <w:rPr>
          <w:rStyle w:val="C12"/>
          <w:rtl w:val="0"/>
        </w:rPr>
      </w:pPr>
      <w:r>
        <w:rPr>
          <w:rStyle w:val="C12"/>
          <w:rtl w:val="0"/>
        </w:rPr>
        <w:t>3</w:t>
      </w:r>
    </w:p>
    <w:p>
      <w:pPr>
        <w:pStyle w:val="P16"/>
        <w:framePr w:w="9826" w:h="607" w:hRule="exact" w:wrap="none" w:vAnchor="page" w:hAnchor="margin" w:x="45" w:y="6905"/>
        <w:rPr>
          <w:rStyle w:val="C3"/>
          <w:rtl w:val="0"/>
        </w:rPr>
      </w:pPr>
    </w:p>
    <w:p>
      <w:pPr>
        <w:pStyle w:val="P17"/>
        <w:framePr w:w="9774" w:h="480" w:hRule="exact" w:wrap="none" w:vAnchor="page" w:hAnchor="margin" w:x="71" w:y="6961"/>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905"/>
        <w:rPr>
          <w:rStyle w:val="C3"/>
          <w:rtl w:val="0"/>
        </w:rPr>
      </w:pPr>
    </w:p>
    <w:p>
      <w:pPr>
        <w:pStyle w:val="P19"/>
        <w:framePr w:w="723" w:h="480" w:hRule="exact" w:wrap="none" w:vAnchor="page" w:hAnchor="margin" w:x="9972" w:y="6961"/>
        <w:rPr>
          <w:rStyle w:val="C14"/>
          <w:rtl w:val="0"/>
        </w:rPr>
      </w:pPr>
      <w:r>
        <w:rPr>
          <w:rStyle w:val="C14"/>
          <w:rtl w:val="0"/>
        </w:rPr>
        <w:t>3</w:t>
      </w:r>
    </w:p>
    <w:p>
      <w:pPr>
        <w:pStyle w:val="P12"/>
        <w:framePr w:w="9826" w:h="376" w:hRule="exact" w:wrap="none" w:vAnchor="page" w:hAnchor="margin" w:x="45" w:y="7512"/>
        <w:rPr>
          <w:rStyle w:val="C3"/>
          <w:rtl w:val="0"/>
        </w:rPr>
      </w:pPr>
    </w:p>
    <w:p>
      <w:pPr>
        <w:pStyle w:val="P13"/>
        <w:framePr w:w="9774" w:h="249" w:hRule="exact" w:wrap="none" w:vAnchor="page" w:hAnchor="margin" w:x="71" w:y="7568"/>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7512"/>
        <w:rPr>
          <w:rStyle w:val="C3"/>
          <w:rtl w:val="0"/>
        </w:rPr>
      </w:pPr>
    </w:p>
    <w:p>
      <w:pPr>
        <w:pStyle w:val="P15"/>
        <w:framePr w:w="723" w:h="249" w:hRule="exact" w:wrap="none" w:vAnchor="page" w:hAnchor="margin" w:x="9972" w:y="7568"/>
        <w:rPr>
          <w:rStyle w:val="C12"/>
          <w:rtl w:val="0"/>
        </w:rPr>
      </w:pPr>
      <w:r>
        <w:rPr>
          <w:rStyle w:val="C12"/>
          <w:rtl w:val="0"/>
        </w:rPr>
        <w:t>3</w:t>
      </w:r>
    </w:p>
    <w:p>
      <w:pPr>
        <w:pStyle w:val="P16"/>
        <w:framePr w:w="9826" w:h="607" w:hRule="exact" w:wrap="none" w:vAnchor="page" w:hAnchor="margin" w:x="45" w:y="7889"/>
        <w:rPr>
          <w:rStyle w:val="C3"/>
          <w:rtl w:val="0"/>
        </w:rPr>
      </w:pPr>
    </w:p>
    <w:p>
      <w:pPr>
        <w:pStyle w:val="P17"/>
        <w:framePr w:w="9774" w:h="480" w:hRule="exact" w:wrap="none" w:vAnchor="page" w:hAnchor="margin" w:x="71" w:y="794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889"/>
        <w:rPr>
          <w:rStyle w:val="C3"/>
          <w:rtl w:val="0"/>
        </w:rPr>
      </w:pPr>
    </w:p>
    <w:p>
      <w:pPr>
        <w:pStyle w:val="P19"/>
        <w:framePr w:w="723" w:h="480" w:hRule="exact" w:wrap="none" w:vAnchor="page" w:hAnchor="margin" w:x="9972" w:y="7945"/>
        <w:rPr>
          <w:rStyle w:val="C14"/>
          <w:rtl w:val="0"/>
        </w:rPr>
      </w:pPr>
      <w:r>
        <w:rPr>
          <w:rStyle w:val="C14"/>
          <w:rtl w:val="0"/>
        </w:rPr>
        <w:t>3</w:t>
      </w:r>
    </w:p>
    <w:p>
      <w:pPr>
        <w:pStyle w:val="P12"/>
        <w:framePr w:w="9826" w:h="376" w:hRule="exact" w:wrap="none" w:vAnchor="page" w:hAnchor="margin" w:x="45" w:y="8495"/>
        <w:rPr>
          <w:rStyle w:val="C3"/>
          <w:rtl w:val="0"/>
        </w:rPr>
      </w:pPr>
    </w:p>
    <w:p>
      <w:pPr>
        <w:pStyle w:val="P13"/>
        <w:framePr w:w="9774" w:h="249" w:hRule="exact" w:wrap="none" w:vAnchor="page" w:hAnchor="margin" w:x="71" w:y="8551"/>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8495"/>
        <w:rPr>
          <w:rStyle w:val="C3"/>
          <w:rtl w:val="0"/>
        </w:rPr>
      </w:pPr>
    </w:p>
    <w:p>
      <w:pPr>
        <w:pStyle w:val="P15"/>
        <w:framePr w:w="723" w:h="249" w:hRule="exact" w:wrap="none" w:vAnchor="page" w:hAnchor="margin" w:x="9972" w:y="8551"/>
        <w:rPr>
          <w:rStyle w:val="C12"/>
          <w:rtl w:val="0"/>
        </w:rPr>
      </w:pPr>
      <w:r>
        <w:rPr>
          <w:rStyle w:val="C12"/>
          <w:rtl w:val="0"/>
        </w:rPr>
        <w:t>3</w:t>
      </w:r>
    </w:p>
    <w:p>
      <w:pPr>
        <w:pStyle w:val="P16"/>
        <w:framePr w:w="9826" w:h="376" w:hRule="exact" w:wrap="none" w:vAnchor="page" w:hAnchor="margin" w:x="45" w:y="8872"/>
        <w:rPr>
          <w:rStyle w:val="C3"/>
          <w:rtl w:val="0"/>
        </w:rPr>
      </w:pPr>
    </w:p>
    <w:p>
      <w:pPr>
        <w:pStyle w:val="P17"/>
        <w:framePr w:w="9774" w:h="249" w:hRule="exact" w:wrap="none" w:vAnchor="page" w:hAnchor="margin" w:x="71" w:y="8928"/>
        <w:rPr>
          <w:rStyle w:val="C13"/>
          <w:rtl w:val="0"/>
        </w:rPr>
      </w:pPr>
      <w:r>
        <w:rPr>
          <w:rStyle w:val="C13"/>
          <w:rtl w:val="0"/>
        </w:rPr>
        <w:t>Sestavování, montáž a demontáž ocelových konstrukcí</w:t>
      </w:r>
    </w:p>
    <w:p>
      <w:pPr>
        <w:pStyle w:val="P18"/>
        <w:framePr w:w="805" w:h="376" w:hRule="exact" w:wrap="none" w:vAnchor="page" w:hAnchor="margin" w:x="9916" w:y="8872"/>
        <w:rPr>
          <w:rStyle w:val="C3"/>
          <w:rtl w:val="0"/>
        </w:rPr>
      </w:pPr>
    </w:p>
    <w:p>
      <w:pPr>
        <w:pStyle w:val="P19"/>
        <w:framePr w:w="723" w:h="249" w:hRule="exact" w:wrap="none" w:vAnchor="page" w:hAnchor="margin" w:x="9972" w:y="8928"/>
        <w:rPr>
          <w:rStyle w:val="C14"/>
          <w:rtl w:val="0"/>
        </w:rPr>
      </w:pPr>
      <w:r>
        <w:rPr>
          <w:rStyle w:val="C14"/>
          <w:rtl w:val="0"/>
        </w:rPr>
        <w:t>3</w:t>
      </w:r>
    </w:p>
    <w:p>
      <w:pPr>
        <w:pStyle w:val="P7"/>
        <w:framePr w:w="8788" w:h="340" w:hRule="exact" w:wrap="none" w:vAnchor="page" w:hAnchor="margin" w:x="28" w:y="9475"/>
        <w:rPr>
          <w:rStyle w:val="C8"/>
          <w:rtl w:val="0"/>
        </w:rPr>
      </w:pPr>
      <w:r>
        <w:rPr>
          <w:rStyle w:val="C8"/>
          <w:rtl w:val="0"/>
        </w:rPr>
        <w:t>Platnost standardu</w:t>
      </w:r>
    </w:p>
    <w:p>
      <w:pPr>
        <w:pStyle w:val="P20"/>
        <w:framePr w:w="4283" w:h="248" w:hRule="exact" w:wrap="none" w:vAnchor="page" w:hAnchor="margin" w:x="28" w:y="98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projekční a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technické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zdvíhací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zdvíhací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mechanizační a vázací prostředky pro manipulaci s břemeny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Sestavování, montáž a demontáž ocelových konstrukcí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Stanovit postup demontáže starého zařízení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ocelové konstrukce dle výkresové dokumentace v souladu s technologickým postupem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funkční zkoušku ocelové konstrukce (přesnost, kompletnost, bezvadná funkce) dle plánu kontrol a zkoušek nebo dle inspekčního plánu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Opravit případné vady a nedodělky ocelové konstrukce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http://katalog.nsp.cz/karta_p.aspx?id_jp=106&amp;kod_sm1=37).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a paličským průkazem pro svařování kovů podle ČSN 05 07 05 nebo dle ČSN EN 281-1 a platným vazačským průkazem.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předměrů,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(např. elektrická energie, plyn, tlakový vzduch, voda aj.)</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pomůcky (OOPP), příp. i speciální OOPP odpovídající druhu montáže (např. svářecí kukla)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 (např. strojnické tabulky, technologický postup, přepisy pro montáž, výběry z norem, výkresová dokumentace včetně rozpisu dílů)</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odpovídající všem připraveným alternativám zadání zkoušky u autorizované osoby (např. nářadí pro řezání, vrtání a opracování materiálu, svařovací souprava, nářadí na sváření, dělení nebo pálení materiálu a další)</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odpovídající všem připraveným alternativám zadání zkoušky u autorizované osoby (např. jeřáb, zvedáky, lešení, vozík, plošina, kladka)</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odpovídající všem připraveným alternativám zadání zkoušky u autorizované osoby</w:t>
      </w:r>
    </w:p>
    <w:p>
      <w:pPr>
        <w:keepNext w:val="0"/>
        <w:keepLines w:val="1"/>
        <w:framePr w:w="10766" w:h="69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odpovídající všem připraveným alternativám zadání zkoušky u autorizované osoby (např. různé druhy měřidel, nivelační přístroj, momentový klíč, pásmo, leaserové měřidlo)</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847"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přípravy na zkoušku</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Montér ocelových konstrukcí, 7.11.2026 0:22:43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627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CFC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81B6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