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FEF88" Type="http://schemas.openxmlformats.org/officeDocument/2006/relationships/officeDocument" Target="/word/document.xml" /><Relationship Id="coreR470FEF88" Type="http://schemas.openxmlformats.org/package/2006/relationships/metadata/core-properties" Target="/docProps/core.xml" /><Relationship Id="customR470FEF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703" w:hRule="exact" w:wrap="none" w:vAnchor="page" w:hAnchor="margin" w:x="4110" w:y="3784"/>
        <w:rPr>
          <w:rStyle w:val="C7"/>
          <w:rtl w:val="0"/>
        </w:rPr>
      </w:pPr>
      <w:r>
        <w:rPr>
          <w:rStyle w:val="C7"/>
          <w:rtl w:val="0"/>
        </w:rPr>
        <w:t>Mechanik opravář; Montér vzduchotechniky; Mechanik báňské záchranné služby; Montér točivých strojů; Provozní zámečník; Montér ocelových konstrukcí; Důlní zámečník; Provozní zámečník a montér; Strojní zámečník</w:t>
      </w:r>
    </w:p>
    <w:p>
      <w:pPr>
        <w:pStyle w:val="P5"/>
        <w:framePr w:w="4026" w:h="248" w:hRule="exact" w:wrap="none" w:vAnchor="page" w:hAnchor="margin" w:x="28" w:y="4486"/>
        <w:rPr>
          <w:rStyle w:val="C6"/>
          <w:rtl w:val="0"/>
        </w:rPr>
      </w:pPr>
      <w:r>
        <w:rPr>
          <w:rStyle w:val="C6"/>
          <w:rtl w:val="0"/>
        </w:rPr>
        <w:t>Kvalifikační úroveň NSK - EQF:</w:t>
      </w:r>
    </w:p>
    <w:p>
      <w:pPr>
        <w:pStyle w:val="P6"/>
        <w:framePr w:w="6628" w:h="248" w:hRule="exact" w:wrap="none" w:vAnchor="page" w:hAnchor="margin" w:x="4110" w:y="4486"/>
        <w:rPr>
          <w:rStyle w:val="C7"/>
          <w:rtl w:val="0"/>
        </w:rPr>
      </w:pPr>
      <w:r>
        <w:rPr>
          <w:rStyle w:val="C7"/>
          <w:rtl w:val="0"/>
        </w:rPr>
        <w:t>3</w:t>
      </w:r>
    </w:p>
    <w:p>
      <w:pPr>
        <w:pStyle w:val="P7"/>
        <w:framePr w:w="8970" w:h="340" w:hRule="exact" w:wrap="none" w:vAnchor="page" w:hAnchor="margin" w:x="28" w:y="5188"/>
        <w:rPr>
          <w:rStyle w:val="C8"/>
          <w:rtl w:val="0"/>
        </w:rPr>
      </w:pPr>
      <w:r>
        <w:rPr>
          <w:rStyle w:val="C8"/>
          <w:rtl w:val="0"/>
        </w:rPr>
        <w:t>Odborná způsobilost</w:t>
      </w:r>
    </w:p>
    <w:p>
      <w:pPr>
        <w:pStyle w:val="P8"/>
        <w:framePr w:w="9826" w:h="376" w:hRule="exact" w:wrap="none" w:vAnchor="page" w:hAnchor="margin" w:x="45" w:y="5698"/>
        <w:rPr>
          <w:rStyle w:val="C3"/>
          <w:rtl w:val="0"/>
        </w:rPr>
      </w:pPr>
    </w:p>
    <w:p>
      <w:pPr>
        <w:pStyle w:val="P9"/>
        <w:framePr w:w="9802" w:h="249" w:hRule="exact" w:wrap="none" w:vAnchor="page" w:hAnchor="margin" w:x="71" w:y="5769"/>
        <w:rPr>
          <w:rStyle w:val="C9"/>
          <w:rtl w:val="0"/>
        </w:rPr>
      </w:pPr>
      <w:r>
        <w:rPr>
          <w:rStyle w:val="C9"/>
          <w:rtl w:val="0"/>
        </w:rPr>
        <w:t>Název</w:t>
      </w:r>
    </w:p>
    <w:p>
      <w:pPr>
        <w:pStyle w:val="P10"/>
        <w:framePr w:w="805" w:h="376" w:hRule="exact" w:wrap="none" w:vAnchor="page" w:hAnchor="margin" w:x="9916" w:y="5698"/>
        <w:rPr>
          <w:rStyle w:val="C3"/>
          <w:rtl w:val="0"/>
        </w:rPr>
      </w:pPr>
    </w:p>
    <w:p>
      <w:pPr>
        <w:pStyle w:val="P11"/>
        <w:framePr w:w="751" w:h="249" w:hRule="exact" w:wrap="none" w:vAnchor="page" w:hAnchor="margin" w:x="9972" w:y="5769"/>
        <w:rPr>
          <w:rStyle w:val="C10"/>
          <w:rtl w:val="0"/>
        </w:rPr>
      </w:pPr>
      <w:r>
        <w:rPr>
          <w:rStyle w:val="C10"/>
          <w:rtl w:val="0"/>
        </w:rPr>
        <w:t>Úroveň</w:t>
      </w:r>
    </w:p>
    <w:p>
      <w:pPr>
        <w:pStyle w:val="P12"/>
        <w:framePr w:w="9826" w:h="607" w:hRule="exact" w:wrap="none" w:vAnchor="page" w:hAnchor="margin" w:x="45" w:y="6074"/>
        <w:rPr>
          <w:rStyle w:val="C3"/>
          <w:rtl w:val="0"/>
        </w:rPr>
      </w:pPr>
    </w:p>
    <w:p>
      <w:pPr>
        <w:pStyle w:val="P13"/>
        <w:framePr w:w="9774" w:h="480" w:hRule="exact" w:wrap="none" w:vAnchor="page" w:hAnchor="margin" w:x="71" w:y="6130"/>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6074"/>
        <w:rPr>
          <w:rStyle w:val="C3"/>
          <w:rtl w:val="0"/>
        </w:rPr>
      </w:pPr>
    </w:p>
    <w:p>
      <w:pPr>
        <w:pStyle w:val="P15"/>
        <w:framePr w:w="723" w:h="480" w:hRule="exact" w:wrap="none" w:vAnchor="page" w:hAnchor="margin" w:x="9972" w:y="6130"/>
        <w:rPr>
          <w:rStyle w:val="C12"/>
          <w:rtl w:val="0"/>
        </w:rPr>
      </w:pPr>
      <w:r>
        <w:rPr>
          <w:rStyle w:val="C12"/>
          <w:rtl w:val="0"/>
        </w:rPr>
        <w:t>3</w:t>
      </w:r>
    </w:p>
    <w:p>
      <w:pPr>
        <w:pStyle w:val="P16"/>
        <w:framePr w:w="9826" w:h="607" w:hRule="exact" w:wrap="none" w:vAnchor="page" w:hAnchor="margin" w:x="45" w:y="6681"/>
        <w:rPr>
          <w:rStyle w:val="C3"/>
          <w:rtl w:val="0"/>
        </w:rPr>
      </w:pPr>
    </w:p>
    <w:p>
      <w:pPr>
        <w:pStyle w:val="P17"/>
        <w:framePr w:w="9774" w:h="480" w:hRule="exact" w:wrap="none" w:vAnchor="page" w:hAnchor="margin" w:x="71" w:y="6737"/>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681"/>
        <w:rPr>
          <w:rStyle w:val="C3"/>
          <w:rtl w:val="0"/>
        </w:rPr>
      </w:pPr>
    </w:p>
    <w:p>
      <w:pPr>
        <w:pStyle w:val="P19"/>
        <w:framePr w:w="723" w:h="480" w:hRule="exact" w:wrap="none" w:vAnchor="page" w:hAnchor="margin" w:x="9972" w:y="6737"/>
        <w:rPr>
          <w:rStyle w:val="C14"/>
          <w:rtl w:val="0"/>
        </w:rPr>
      </w:pPr>
      <w:r>
        <w:rPr>
          <w:rStyle w:val="C14"/>
          <w:rtl w:val="0"/>
        </w:rPr>
        <w:t>3</w:t>
      </w:r>
    </w:p>
    <w:p>
      <w:pPr>
        <w:pStyle w:val="P12"/>
        <w:framePr w:w="9826" w:h="376" w:hRule="exact" w:wrap="none" w:vAnchor="page" w:hAnchor="margin" w:x="45" w:y="7288"/>
        <w:rPr>
          <w:rStyle w:val="C3"/>
          <w:rtl w:val="0"/>
        </w:rPr>
      </w:pPr>
    </w:p>
    <w:p>
      <w:pPr>
        <w:pStyle w:val="P13"/>
        <w:framePr w:w="9774" w:h="249" w:hRule="exact" w:wrap="none" w:vAnchor="page" w:hAnchor="margin" w:x="71" w:y="7344"/>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7288"/>
        <w:rPr>
          <w:rStyle w:val="C3"/>
          <w:rtl w:val="0"/>
        </w:rPr>
      </w:pPr>
    </w:p>
    <w:p>
      <w:pPr>
        <w:pStyle w:val="P15"/>
        <w:framePr w:w="723" w:h="249" w:hRule="exact" w:wrap="none" w:vAnchor="page" w:hAnchor="margin" w:x="9972" w:y="7344"/>
        <w:rPr>
          <w:rStyle w:val="C12"/>
          <w:rtl w:val="0"/>
        </w:rPr>
      </w:pPr>
      <w:r>
        <w:rPr>
          <w:rStyle w:val="C12"/>
          <w:rtl w:val="0"/>
        </w:rPr>
        <w:t>3</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3</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3</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Sestavování, montáž a demontáž ocelových konstrukcí</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3</w:t>
      </w:r>
    </w:p>
    <w:p>
      <w:pPr>
        <w:pStyle w:val="P7"/>
        <w:framePr w:w="8788" w:h="340" w:hRule="exact" w:wrap="none" w:vAnchor="page" w:hAnchor="margin" w:x="28" w:y="9250"/>
        <w:rPr>
          <w:rStyle w:val="C8"/>
          <w:rtl w:val="0"/>
        </w:rPr>
      </w:pPr>
      <w:r>
        <w:rPr>
          <w:rStyle w:val="C8"/>
          <w:rtl w:val="0"/>
        </w:rPr>
        <w:t>Platnost standardu</w:t>
      </w:r>
    </w:p>
    <w:p>
      <w:pPr>
        <w:pStyle w:val="P20"/>
        <w:framePr w:w="4283" w:h="248" w:hRule="exact" w:wrap="none" w:vAnchor="page" w:hAnchor="margin" w:x="28" w:y="9591"/>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ocelových konstrukcí, 28.4.2026 23:03:13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projekční a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technické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zdvíhací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28.4.2026 23:03:13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zdvíhací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mechanizační a vázací prostředky pro manipulaci s břemeny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montáž a demontáž ocelových konstrukcí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Stanovit postup demontáže starého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ocelové konstrukce dle výkresové dokumentace v souladu s technologickým postupem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funkční zkoušku ocelové konstrukce (přesnost, kompletnost, bezvadná funkce) dle plánu kontrol a zkoušek nebo dle inspekčního plánu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Opravit případné vady a nedodělky ocelové konstrukce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28.4.2026 23:03:13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a paličským průkazem pro svařování kovů podle ČSN 05 07 05 nebo dle ČSN EN 281-1 a platným vazačským průkazem.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 ocelových konstrukcí, 28.4.2026 23:03:13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předměrů,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28.4.2026 23:03:13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(např. elektrická energie, plyn, tlakový vzduch, voda aj.)</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pomůcky (OOPP), příp. i speciální OOPP odpovídající druhu montáže (např. svářecí kukla)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 (např. strojnické tabulky, technologický postup, přepisy pro montáž, výběry z norem, výkresová dokumentace včetně rozpisu dílů)</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odpovídající všem připraveným alternativám zadání zkoušky u autorizované osoby (např. nářadí pro řezání, vrtání a opracování materiálu, svařovací souprava, nářadí na sváření, dělení nebo pálení materiálu a další)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odpovídající všem připraveným alternativám zadání zkoušky u autorizované osoby (např. jeřáb, zvedáky, lešení, vozík, plošina, kladka)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odpovídající všem připraveným alternativám zadání zkoušky u autorizované osoby</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odpovídající všem připraveným alternativám zadání zkoušky u autorizované osoby (např. různé druhy měřidel, nivelační přístroj, momentový klíč, pásmo, leaserové měřidlo)</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847"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přípravy na zkoušku</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28.4.2026 23:03:13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Montér ocelových konstrukcí, 28.4.2026 23:03:13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B04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48D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59BC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