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E5A30" Type="http://schemas.openxmlformats.org/officeDocument/2006/relationships/officeDocument" Target="/word/document.xml" /><Relationship Id="coreR373E5A30" Type="http://schemas.openxmlformats.org/package/2006/relationships/metadata/core-properties" Target="/docProps/core.xml" /><Relationship Id="customR373E5A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11.02.2022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se sleduje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bchodní nabídka služeb představuje konkrétní nabídku podle požadavků a přání zákazníka, tzn. typ pokoje, konfiguraci lůžek, čas příjezdu, příp. snídaní atd. Nabídka služeb může být značně variabilní, ale základ by se měl odvíjet vždy od nabídky ubytování a dohodnutí času příjezdu.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ákladní informační služby představují informace o dění v ubytovacím zařízení a v jeho okolí. 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- 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ákladní jednoduchý marketingový plán představuje základní kroky v oblasti marketingu a strategie ubytovacího zařízení.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možnostech podnikání ve službách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- 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ákladní právní normy vyžadované jako nezbytné pro provozovatele ubytování v soukromí, jejichž znalost uchazeč prokazuje u zkoušky jsou: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455/1991 Sb., živnostenský zákon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278/2008 Sb., o obsahových náplních jednotlivých živností ( živnost volná - č. 55 Ubytovací služby; živnost řemeslná - Hostinská činnost)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501/2006 Sb., o obecných požadavcích na využití území (§ 2)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268/2009 Sb., o technických požadavcích na stavby (§ 3, § 39, § 40,§ 44)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FE3AC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