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E78862" Type="http://schemas.openxmlformats.org/officeDocument/2006/relationships/officeDocument" Target="/word/document.xml" /><Relationship Id="coreR21E78862" Type="http://schemas.openxmlformats.org/package/2006/relationships/metadata/core-properties" Target="/docProps/core.xml" /><Relationship Id="customR21E788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hlubotiskových kotoučových strojích (kód: 34-012-H)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hlubotiskových kotoučových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hlubotiskových kotoučových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hlubotiskových kotoučových strojích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seřízení hlubotiskových kotoučových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hlubotiskových kotoučových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Dokončení tisku, předání zakázky na hlubotiskových kotoučových strojích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řídící (RIP) a rycí a laserové jednotky včetně periférií, nastavení rycího a laserového osvitového zařízení v hlubotisku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hlubotiskových kotoučových strojích, 17.9.2026 4:05:31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hlubotiskových kotoučových strojích, 17.9.2026 4:05:31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polygrafii, média a informační služby,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hlubotiskových kotoučových strojích, 17.9.2026 4:05:31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