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3B9C33" Type="http://schemas.openxmlformats.org/officeDocument/2006/relationships/officeDocument" Target="/word/document.xml" /><Relationship Id="coreRF3B9C33" Type="http://schemas.openxmlformats.org/package/2006/relationships/metadata/core-properties" Target="/docProps/core.xml" /><Relationship Id="customRF3B9C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hlubotiskových kotoučových strojích (kód: 34-012-H)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hlubotiskových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hlubotiskových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hlubotiskových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hlubotiskových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hlubotiskových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hlubotiskových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hlubotiskových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hlubotiskových kotoučových strojích, 17.9.2026 5:05:07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2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https://www.nsp.cz/jednotka-prace/tiskar-na-hlubotiskovych-#zdravotni-zpusobilost) a prokazuje se lékařským potvrzením, že netrpí poruchou barvocitu (poruchou barevného vidění).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papírové etikety předá uchazeč po podpisu výrobního sáčku zpět autorizované osobě, resp. autorizovanému zástupci autorizované osoby k dalšímu zpracování.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Tiskař/tiskařka na hlubotiskových kotoučových strojích, 17.9.2026 5:05:07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Kvalifikační standard profesní kvalifikace připravila SR pro polygrafii, média a informační služby, ustavená a licencovaná pro tuto činnost HK ČR a SP ČR.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Svoboda Press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hlubotiskových kotoučových strojích, 17.9.2026 5:05:07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