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AD2C7A" Type="http://schemas.openxmlformats.org/officeDocument/2006/relationships/officeDocument" Target="/word/document.xml" /><Relationship Id="coreR1DAD2C7A" Type="http://schemas.openxmlformats.org/package/2006/relationships/metadata/core-properties" Target="/docProps/core.xml" /><Relationship Id="customR1DAD2C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hlubotiskových kotoučových strojích (kód: 34-012-H)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hlubotiskových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hlubotiskových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hlubotiskových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hlubotiskových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hlubotiskových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hlubotiskových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hlubotiskových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hlubotiskových kotoučových strojích, 17.9.2026 4:06:14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2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https://www.nsp.cz/jednotka-prace/tiskar-na-hlubotiskovych-#zdravotni-zpusobilost) a prokazuje se lékařským potvrzením, že netrpí poruchou barvocitu (poruchou barevného vidění).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papírové etikety předá uchazeč po podpisu výrobního sáčku zpět autorizované osobě, resp. autorizovanému zástupci autorizované osoby k dalšímu zpracování.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 na hlubotiskových kotoučových strojích, 17.9.2026 4:06:14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profesní kvalifikace připravila SR pro polygrafii, média a informační služby, ustavená a licencovaná pro tuto činnost HK ČR a SP ČR.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hlubotiskových kotoučových strojích, 17.9.2026 4:06:14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