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89267" Type="http://schemas.openxmlformats.org/officeDocument/2006/relationships/officeDocument" Target="/word/document.xml" /><Relationship Id="coreR5B489267" Type="http://schemas.openxmlformats.org/package/2006/relationships/metadata/core-properties" Target="/docProps/core.xml" /><Relationship Id="customR5B4892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20.10.2022</w:t>
      </w:r>
    </w:p>
    <w:p>
      <w:pPr>
        <w:pStyle w:val="P21"/>
        <w:framePr w:w="7654" w:h="331" w:hRule="exact" w:wrap="none" w:vAnchor="page" w:hAnchor="margin" w:x="28" w:y="15940"/>
        <w:rPr>
          <w:rStyle w:val="C16"/>
          <w:rtl w:val="0"/>
        </w:rPr>
      </w:pPr>
      <w:r>
        <w:rPr>
          <w:rStyle w:val="C16"/>
          <w:rtl w:val="0"/>
        </w:rPr>
        <w:t>Výroba knedlíků, 2.8.2026 4:00:44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2.8.2026 4:00:44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2.8.2026 4:00:44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knedlíků, 2.8.2026 4:00:44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gastronomie, z toho minimálně jeden rok v období posledních dvou let před podáním žádosti o autorizaci.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575"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Výroba knedlíků, 2.8.2026 4:00:44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knedlíků, 2.8.2026 4:00:44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knedlíků, 2.8.2026 4:00:44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