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7B694" Type="http://schemas.openxmlformats.org/officeDocument/2006/relationships/officeDocument" Target="/word/document.xml" /><Relationship Id="coreR3797B694" Type="http://schemas.openxmlformats.org/package/2006/relationships/metadata/core-properties" Target="/docProps/core.xml" /><Relationship Id="customR3797B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uživatelského rozhraní videoher (kód: 82-061-M)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oboru a funkce UX/UI ve vývoji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uživatelské analýzy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hry v rozsahu design dokumentu, který obsahuje: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příběhové pozadí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cílovou skupinu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herní platformu (PC, stolní konzole, mobilní zařízení)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ověřuje, jakým způsobem by zkoušený naplánoval kvantitativní studii, co měřit, odkud brát data, co by mohlo být problematické, tedy plán návrhu a analýzy studie.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se ověřuje, jakým způsobem by zkoušený naplánoval kvalitativní studii, jak by vysvětlil technologické a umělecké aspekty, jak by vedl uživatelské testování UI/UX.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není nutné tvořit kompletní wireframe a styleguide - zejména pokud jde o rozsáhlý herní projekt. Může jít o wireframe a styleguide jen dané části video hry ze zadání. Podstatné je, aby z množství odvedené práce bylo možno posoudit schopnost uchazeče zpracovat UX/UI hry jako celek.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Špiřík, Bohemia Interactiv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Hustoles,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31.10.2026 14:56:34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A2E9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