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7C33E5" Type="http://schemas.openxmlformats.org/officeDocument/2006/relationships/officeDocument" Target="/word/document.xml" /><Relationship Id="coreR337C33E5" Type="http://schemas.openxmlformats.org/package/2006/relationships/metadata/core-properties" Target="/docProps/core.xml" /><Relationship Id="customR337C33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Garanční technik/technička (kód: 23-154-M)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motorových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motorových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motorových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Technické hodnocení poškození součástí motorových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oprav motorových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oprav motorových vozidel nad rámec záručních podmínek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garančního protokolu motorového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Fotodokumentace průběhu garanční opravy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Fakturace schválené garanční opravy motorového vozidla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Uzavření zakázky garanční opravy motorového vozidla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Garanční technik/technička, 13.6.2026 7:05:47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https://nsp.cz/jednotka-prace/technik-autoservisu#zdravotni-zpusobilost).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řidičské oprávnění sk. "B".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4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4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4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1"/>
        <w:framePr w:w="10766" w:h="74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předváděné činnosti ústním výkladem a zodpoví doplňující otázky zkoušejících.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každému kritériu, u kterého je jako způsob ověření uvedeno "ústní ověření", připraví autorizovaná osoba minimálně dvě písemně formulované otevřené otázky.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Garanční technik/technička, 13.6.2026 7:05:47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Jan Jetmar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Garanční technik/technička, 13.6.2026 7:05:47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7F0DD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