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08AC33" Type="http://schemas.openxmlformats.org/officeDocument/2006/relationships/officeDocument" Target="/word/document.xml" /><Relationship Id="coreR3708AC33" Type="http://schemas.openxmlformats.org/package/2006/relationships/metadata/core-properties" Target="/docProps/core.xml" /><Relationship Id="customR3708AC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čalouněných sedadel a opěradel židlí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čalouněných sedadel a opěradel židlí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dělení tvarovacích a kypřicích materiálů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potahů čalouněných sedadel a opěradel židlí na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nosných základů čalounění sedadla a opěradla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tvaru čalounění sedadla a opěradla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 xml:space="preserve">Potahování sedadla a opěradla  židlí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13.6.2026 16:27:41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pružným podkladem – potah useň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•čalouněné opěradlo židle tvarované pomocí vtahových prvků – potah useň 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pevným podkladem – potah textilie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13.6.2026 16:27:41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DESIGN,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13.6.2026 16:27:41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447BD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