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8DFF6" Type="http://schemas.openxmlformats.org/officeDocument/2006/relationships/officeDocument" Target="/word/document.xml" /><Relationship Id="coreRCD8DFF6" Type="http://schemas.openxmlformats.org/package/2006/relationships/metadata/core-properties" Target="/docProps/core.xml" /><Relationship Id="customRCD8DF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19:34:13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19:34:13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19:34:13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19:34:13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19:34:13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19:34:13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Výrobce/výrobkyně jedno- nebo třídílných matrací z přírodních materiálů a střední vzdělání s maturitní zkouškou a alespoň 5 let odborné praxe v oblasti výroby matrací jedno nebo třídílných.</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19:34:13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19:34:13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19:34:13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13.9.2026 19:34:13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D4B03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EDA8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A1FA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F5C0C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