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05D3D" Type="http://schemas.openxmlformats.org/officeDocument/2006/relationships/officeDocument" Target="/word/document.xml" /><Relationship Id="coreRF905D3D" Type="http://schemas.openxmlformats.org/package/2006/relationships/metadata/core-properties" Target="/docProps/core.xml" /><Relationship Id="customRF905D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(kód: 23-157-H)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uchazeči praktickou práci - opravu konkrétního budíku a bicích hodin. Autorizovaná osoba nasimuluje závady na uvedených předmětech. Součástí praktické práce jsou rovněž dílčí činnosti, při kterých uchazeč prokáže praktické dovednosti vztahující se ke kritériím, u kterých je uvedeno "Praktické předvedení".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nichž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28.10.2026 22:18:58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BB741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