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ED94DC" Type="http://schemas.openxmlformats.org/officeDocument/2006/relationships/officeDocument" Target="/word/document.xml" /><Relationship Id="coreR19ED94DC" Type="http://schemas.openxmlformats.org/package/2006/relationships/metadata/core-properties" Target="/docProps/core.xml" /><Relationship Id="customR19ED94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3D herní grafik/grafička (kód: 82-053-N)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digitální 3D produkce v herním vývoji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nástrojů a jejich parametrů, stanovení jmenných konvencí a datových formátů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digitálního 3D modelu v herním vývoji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digitální 3D kompozice v herním vývoji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3D herní grafik/grafička, 30.7.2026 5:30:32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88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všech kompetencí obdrží uchazeč bezprostředně před zahájením zkoušky od autorizované osoby zadání pro tvorbu 3D projektu. Ke každému zadání předloží hodnoticí komise referenční příklady vizuálního stylu prostředí (např. formou obrázků, printscreeny existujících her), které uchazeč zohlední při vypracování návrhu 3D modelu. Dále bude zadání obsahovat videa s definovanými výstupními parametry (polycount, formát exportu, rozlišení textur a texel density, cílový engine, texture set).</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vybere jeden z následujících modelů: </w:t>
      </w:r>
    </w:p>
    <w:p>
      <w:pPr>
        <w:keepNext w:val="0"/>
        <w:keepLines w:val="1"/>
        <w:framePr w:w="10766" w:h="920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hard surface model (např. elektrický generátor, mechanické kladivo, kuchyňský mixer, střelná zbraň)</w:t>
      </w:r>
    </w:p>
    <w:p>
      <w:pPr>
        <w:keepNext w:val="0"/>
        <w:keepLines w:val="1"/>
        <w:framePr w:w="10766" w:h="920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živý/neživý organický model – hlava charakteru (člověk), model zvířete (kůň, slon)</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vytváří v rámci zkoušky kompletní 3D model.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"Orientace v technologických postupech digitální 3D produkce v herním vývoji"</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kritria a): uchazeč v rámci zkoušky vysvětlí alespoň 3 obecné pojmy, např.: high poly/low poly, PBR, dále vysvětlí pojmy - normal mapa, metalness mapa a roughness mapa, optimalizace modelu (např. LOD, zjednodušení materialů pro LODy, mip mapy). Zároveň vysvětlí alespoň jeden z následujících doplňujících pojmů: AA, SSR, Z-fighting, Z-buffer, ray tracing, mipmap, decal, komprese textur, ambient occlusion, ID mapa, IBL.</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kritria b): uchazeč v rámci zkoušky vysvětlí organický a hard surface model dle formy výstupu, model připravený pro animaci a statický model/asset.</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w:t>
      </w:r>
      <w:r>
        <w:rPr>
          <w:rFonts w:ascii="Arial" w:cs="Arial" w:hAnsi="Arial" w:eastAsia="Arial"/>
          <w:b w:val="1"/>
          <w:i w:val="0"/>
          <w:caps w:val="0"/>
          <w:strike w:val="0"/>
          <w:noProof w:val="0"/>
          <w:vanish w:val="0"/>
          <w:color w:val="auto"/>
          <w:sz w:val="20"/>
          <w:u w:val="none"/>
          <w:shd w:val="clear" w:color="auto" w:fill="auto"/>
          <w:vertAlign w:val="baseline"/>
          <w:lang/>
        </w:rPr>
        <w:t>Nastavení nástrojů a jejich parametrů, stanovení jmenných konvencí a datových formátů":</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kritria b): uchazeč v rámci zkoušky používá adresářové struktury projektu pro jednotlivé soubory scény. Zvolí správné pojmenování a ukládání scén, objektů, textur, výstupů.</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3D herní grafik/grafička, 30.7.2026 5:30:32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kulturu,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Volcanoid,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CBE software,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Robek (OSVČ)</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 Interactive,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pStyle w:val="P21"/>
        <w:framePr w:w="7654" w:h="331" w:hRule="exact" w:wrap="none" w:vAnchor="page" w:hAnchor="margin" w:x="28" w:y="15940"/>
        <w:rPr>
          <w:rStyle w:val="C16"/>
          <w:rtl w:val="0"/>
        </w:rPr>
      </w:pPr>
      <w:r>
        <w:rPr>
          <w:rStyle w:val="C16"/>
          <w:rtl w:val="0"/>
        </w:rPr>
        <w:t>3D herní grafik/grafička, 30.7.2026 5:30:32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BA5F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