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24FA01B" Type="http://schemas.openxmlformats.org/officeDocument/2006/relationships/officeDocument" Target="/word/document.xml" /><Relationship Id="coreR324FA01B" Type="http://schemas.openxmlformats.org/package/2006/relationships/metadata/core-properties" Target="/docProps/core.xml" /><Relationship Id="customR324FA01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3D herní grafik/grafička (kód: 82-053-N)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Herní vývojář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technologických postupech digitální 3D produkce v herním vývoji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Nastavení nástrojů a jejich parametrů, stanovení jmenných konvencí a datových formátů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Výroba digitálního 3D modelu v herním vývoji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digitální 3D kompozice v herním vývoji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12.10.2021</w:t>
      </w:r>
    </w:p>
    <w:p>
      <w:pPr>
        <w:pStyle w:val="P21"/>
        <w:framePr w:w="7654" w:h="331" w:hRule="exact" w:wrap="none" w:vAnchor="page" w:hAnchor="margin" w:x="28" w:y="15940"/>
        <w:rPr>
          <w:rStyle w:val="C16"/>
          <w:rtl w:val="0"/>
        </w:rPr>
      </w:pPr>
      <w:r>
        <w:rPr>
          <w:rStyle w:val="C16"/>
          <w:rtl w:val="0"/>
        </w:rPr>
        <w:t>3D herní grafik/grafička, 13.9.2026 17:14:32</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9886"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zkoušky. Uchazeč může ukončit zkoušku kdykoliv v jejím průběhu, a to na vlastní žádost.</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všech kompetencí obdrží uchazeč bezprostředně před zahájením zkoušky od autorizované osoby zadání pro tvorbu 3D projektu. Ke každému zadání předloží hodnoticí komise referenční příklady vizuálního stylu prostředí (např. formou obrázků, printscreeny existujících her), které uchazeč zohlední při vypracování návrhu 3D modelu. Dále bude zadání obsahovat videa s definovanými výstupními parametry (polycount, formát exportu, rozlišení textur a texel density, cílový engine, texture set).</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si vybere jeden z následujících modelů: </w:t>
      </w:r>
    </w:p>
    <w:p>
      <w:pPr>
        <w:keepNext w:val="0"/>
        <w:keepLines w:val="1"/>
        <w:framePr w:w="10766" w:h="920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hard surface model (např. elektrický generátor, mechanické kladivo, kuchyňský mixer, střelná zbraň)</w:t>
      </w:r>
    </w:p>
    <w:p>
      <w:pPr>
        <w:keepNext w:val="0"/>
        <w:keepLines w:val="1"/>
        <w:framePr w:w="10766" w:h="920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živý/neživý organický model – hlava charakteru (člověk), model zvířete (kůň, slon)</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vytváří v rámci zkoušky kompletní 3D model. </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"Orientace v technologických postupech digitální 3D produkce v herním vývoji"</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kritria a): uchazeč v rámci zkoušky vysvětlí alespoň 3 obecné pojmy, např.: high poly/low poly, PBR, dále vysvětlí pojmy - normal mapa, metalness mapa a roughness mapa, optimalizace modelu (např. LOD, zjednodušení materialů pro LODy, mip mapy). Zároveň vysvětlí alespoň jeden z následujících doplňujících pojmů: AA, SSR, Z-fighting, Z-buffer, ray tracing, mipmap, decal, komprese textur, ambient occlusion, ID mapa, IBL.</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kritria b): uchazeč v rámci zkoušky vysvětlí organický a hard surface model dle formy výstupu, model připravený pro animaci a statický model/asset.</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w:t>
      </w:r>
      <w:r>
        <w:rPr>
          <w:rFonts w:ascii="Arial" w:cs="Arial" w:hAnsi="Arial" w:eastAsia="Arial"/>
          <w:b w:val="1"/>
          <w:i w:val="0"/>
          <w:caps w:val="0"/>
          <w:strike w:val="0"/>
          <w:noProof w:val="0"/>
          <w:vanish w:val="0"/>
          <w:color w:val="auto"/>
          <w:sz w:val="20"/>
          <w:u w:val="none"/>
          <w:shd w:val="clear" w:color="auto" w:fill="auto"/>
          <w:vertAlign w:val="baseline"/>
          <w:lang/>
        </w:rPr>
        <w:t>Nastavení nástrojů a jejich parametrů, stanovení jmenných konvencí a datových formátů":</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kritria b): uchazeč v rámci zkoušky používá adresářové struktury projektu pro jednotlivé soubory scény. Zvolí správné pojmenování a ukládání scén, objektů, textur, výstupů.</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3D herní grafik/grafička, 13.9.2026 17:14:32</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kulturu, ustavená a licencovaná pro tuto činnost HK ČR a SP ČR.</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Volcanoid, s. r. o.</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CBE software, s. r. o.</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Petr Robek (OSVČ)</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Bohemia Interactive, a. s.</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Bohemian Multimedia, spol. s r. o.</w:t>
      </w:r>
    </w:p>
    <w:p>
      <w:pPr>
        <w:pStyle w:val="P21"/>
        <w:framePr w:w="7654" w:h="331" w:hRule="exact" w:wrap="none" w:vAnchor="page" w:hAnchor="margin" w:x="28" w:y="15940"/>
        <w:rPr>
          <w:rStyle w:val="C16"/>
          <w:rtl w:val="0"/>
        </w:rPr>
      </w:pPr>
      <w:r>
        <w:rPr>
          <w:rStyle w:val="C16"/>
          <w:rtl w:val="0"/>
        </w:rPr>
        <w:t>3D herní grafik/grafička, 13.9.2026 17:14:32</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367784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