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36D2BF" Type="http://schemas.openxmlformats.org/officeDocument/2006/relationships/officeDocument" Target="/word/document.xml" /><Relationship Id="coreR6F36D2BF" Type="http://schemas.openxmlformats.org/package/2006/relationships/metadata/core-properties" Target="/docProps/core.xml" /><Relationship Id="customR6F36D2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Výroba matracových potahů (kód: 33-008-H)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 a dekoratér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práce, používání pracovních pomůcek v nábytkářství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materiálu a pomocných spojovacích materiálů a doplňkových komponent pro výrobu matracových potahů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Kompletace souboru a dokončení výroby matracových potahů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na výrobu matracových potahů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Nakládání s odpadem v nábytkářství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30.01.2009 do: 18.01.2015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způsobilostí by mělo pokud možno probíhat jako sled navazujících činností vedoucích s využitím zvolených technologických postupů ke zhotovení jednoho, případně dvou výrobků s tím, že některé způsobilosti by se ověřovaly i mimo tento rámec činnosti.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Práce s dodanou konstrukční a technologickou dokumentací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volba materiálů, volba strojů, nástrojů, zařízení pro výrobu matracových potahů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střihových a nářezných plánů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Dělení čalounických materiálů ručními nástroji a strojky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Strojní šití potahů včetně všívání zdrhovadel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Konečná úprava, značení, balení, manipulace, využití nebo likvidace odpadu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bezpečnému provádění všech úkonů, ke kvalitě práce i zhotoveného výrobku, ke znalosti čalounických materiálů a ke znalosti údržby čalouněných výrobků.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byl zpracován ve spolupráci se Sektorovou radou nábytkářů a zástupci následujících institucí: 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českých nábytkářů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zaměstnanců dřevozpracujícího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