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90A60B" Type="http://schemas.openxmlformats.org/officeDocument/2006/relationships/officeDocument" Target="/word/document.xml" /><Relationship Id="coreR5F90A60B" Type="http://schemas.openxmlformats.org/package/2006/relationships/metadata/core-properties" Target="/docProps/core.xml" /><Relationship Id="customR5F90A6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pro matracové potahy, 29.10.2026 2:22:45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29.10.2026 2:22:45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29.10.2026 2:22:45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29.10.2026 2:22:45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polotovarů pro matracové potahy, 29.10.2026 2:22:45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pro matracové potahy, 29.10.2026 2:22:45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Výrobce/výrobkyně polotovarů pro matracové potahy a střední vzdělání s maturitní zkouškou a alespoň 5 let odborné praxe v oblasti čalounické výroby.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pro matracové potahy, 29.10.2026 2:22:45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polotovarů pro matracové potahy, 29.10.2026 2:22:45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Výrobce/výrobkyně polotovarů pro matracové potahy, 29.10.2026 2:22:45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pro matracové potahy, 29.10.2026 2:22:45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59B9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7398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9B285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