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5CAD7" Type="http://schemas.openxmlformats.org/officeDocument/2006/relationships/officeDocument" Target="/word/document.xml" /><Relationship Id="coreR4F65CAD7" Type="http://schemas.openxmlformats.org/package/2006/relationships/metadata/core-properties" Target="/docProps/core.xml" /><Relationship Id="customR4F65CA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Výběr, příprava a údržba nářadí, nástrojů a potahovacího lisu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Výběr, položení a dělení potahového materiálu, popř. i podkladního výplňového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knoflíků podle technologického postupu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na výrobu knoflíků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