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D3B1AC" Type="http://schemas.openxmlformats.org/officeDocument/2006/relationships/officeDocument" Target="/word/document.xml" /><Relationship Id="coreR65D3B1AC" Type="http://schemas.openxmlformats.org/package/2006/relationships/metadata/core-properties" Target="/docProps/core.xml" /><Relationship Id="customR65D3B1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3D tiskáren slévárenských forem a jader (kód: 21-083-M)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výroby a zpracování kovů a jejich slitin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provozu a nastavení 3D tiskárny forem a jader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aplikace pojivových systémů 3D tiskárny forem a jader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technologických postupů a ověření bezpečnostních předpisů platných pro obsluhu 3D tiskáren forem a jader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Výroba slévárenských forem a jader technologií 3D tisku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slévárenské technologické dokumentace, archivace, změnové 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Řízení kvality výroby slévárenských forem a jader vyráběných aditivní technologií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3D tiskáren slévárenských forem a jader, 29.10.2026 2:20:21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Zároveň sdělí a nejpozději spolu s pozvánkou zašle uchazeči informaci o typu a specifikaci 3D tiskárny slévárenských forem a jader, na které zkouška proběhne.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3D tiskáren slévárenských forem a jader, 29.10.2026 2:20:21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sléváren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Vítkovická střední průmyslová škola a gymnázium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3D tiskáren slévárenských forem a jader, 29.10.2026 2:20:21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