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DDF736" Type="http://schemas.openxmlformats.org/officeDocument/2006/relationships/officeDocument" Target="/word/document.xml" /><Relationship Id="coreR25DDF736" Type="http://schemas.openxmlformats.org/package/2006/relationships/metadata/core-properties" Target="/docProps/core.xml" /><Relationship Id="customR25DDF7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produkčního digitálního tiskového stroje (kód: 34-056-M)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při styku s klienty a zákazníky tiskových zakázek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tiskařské práce, potřebných pomůcek a barev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Převzetí výrobních podkladů pro tisk nové zakázky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Převzetí a příprava potiskovaného materiálu, inkoustů či tonerů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Příprava a seřízení jedno a vícebarvových digitálních produkčních tiskových strojů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Dodržení normativu při tisku celé zakázky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Dokončení tisku, předání zakázky na jedno a vícebarvových digitálních produkčních tiskových strojích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Kontrola, údržba a čištění jedno a vícebarvových digitálních produkčních tiskových strojů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produkčního digitálního tiskového stroje,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shodně jako u PK Operátor jedno a vícebarvových digitálních produkčních tiskových strojů - https://www.nsp.cz/jednotka-prace/operator-jedno-a-vicebarv#zdravotni-zpusobilost),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Ofset, kolorimetrické parametry tisku,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další normy digitálního tisku v aktuální verzi.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provádění běžných výpočtů.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produkčního digitálního tiskového stroje,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MR MEDIA,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tisku, z. s. při ČSVTS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Sedláček-SPRINT SERVIS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Astron studio CZ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produkčního digitálního tiskového stroje,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