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5B4095" Type="http://schemas.openxmlformats.org/officeDocument/2006/relationships/officeDocument" Target="/word/document.xml" /><Relationship Id="coreR145B4095" Type="http://schemas.openxmlformats.org/package/2006/relationships/metadata/core-properties" Target="/docProps/core.xml" /><Relationship Id="customR145B40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Výkupce/výkupkyně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Výkupce/výkupkyně druhotných surovin, 29.10.2026 10:22:24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29.10.2026 10:22:24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29.10.2026 10:22:24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Výkupce/výkupkyně druhotných surovin, 29.10.2026 10:22:24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7156" w:hRule="exact" w:wrap="none" w:vAnchor="page" w:hAnchor="margin" w:x="0" w:y="6854"/>
        <w:rPr>
          <w:rStyle w:val="C3"/>
          <w:rtl w:val="0"/>
        </w:rPr>
      </w:pPr>
    </w:p>
    <w:p>
      <w:pPr>
        <w:pStyle w:val="P36"/>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Výkupce/výkupkyně druhotných surovin + střední vzdělání s maturitní zkouškou a alespoň 5 let odborné praxe ve firmách zabývajících se recyklací odpadů a druhotných surovin.</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Výkupce/výkupkyně druhotných surovin, 29.10.2026 10:22:24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Výkupce/výkupkyně druhotných surovin, 29.10.2026 10:22:24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Výkupce/výkupkyně druhotných surovin, 29.10.2026 10:22:24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Výkupce/výkupkyně druhotných surovin, 29.10.2026 10:22:24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C138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4E36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E2A2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827F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132BE4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