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1096A6" Type="http://schemas.openxmlformats.org/officeDocument/2006/relationships/officeDocument" Target="/word/document.xml" /><Relationship Id="coreR481096A6" Type="http://schemas.openxmlformats.org/package/2006/relationships/metadata/core-properties" Target="/docProps/core.xml" /><Relationship Id="customR481096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vodárenský technik / samostatná vodárenská technička technicko-provozního reportingu (kód: 36-178-R)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samostatný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legislativním rámci technicko-provozního reportingu ve vodním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soustavě adresátů technicko-provozního reportingu ve vodním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objektové skladbě vodárenských a kanalizačních systémů v technicko-provozním reportingu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údajů technicko-provozního reportingu ve vodním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databáze údajů pro zpracování technicko-provozního reportingu ve vodním hospodářství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vodoprávní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reportů technicko-provozního reportingu ve vodním hospodářství pro orgány státní správy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13.6.2026 14:52:42</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legislativním rámci technicko-provozního reportingu ve vodním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části systémů vodovodů a kanalizací, pro které je provozovatel povinen vést provozní evidenci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vysvětlit základní pojmy na úseku hospodaření s vodou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základní pojmy a obsah zákona o vodách č. 254/2001 Sb., v platném znění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5117"/>
        <w:rPr>
          <w:rStyle w:val="C3"/>
          <w:rtl w:val="0"/>
        </w:rPr>
      </w:pPr>
    </w:p>
    <w:p>
      <w:pPr>
        <w:pStyle w:val="P17"/>
        <w:framePr w:w="6658" w:h="928" w:hRule="exact" w:wrap="none" w:vAnchor="page" w:hAnchor="margin" w:x="71" w:y="5173"/>
        <w:rPr>
          <w:rStyle w:val="C13"/>
          <w:rtl w:val="0"/>
        </w:rPr>
      </w:pPr>
      <w:r>
        <w:rPr>
          <w:rStyle w:val="C13"/>
          <w:rtl w:val="0"/>
        </w:rPr>
        <w:t>d) Vysvětlit základní pojmy a obsah nařízení vlády o ukazatelích a hodnotách přípustného znečištění povrchových vod a odpadních vod, náležitostech povolení k vypouštění odpadních vod do vod povrchových a do kanalizací a o citlivých oblastech č. 401/2015 Sb., v platném znění</w:t>
      </w:r>
    </w:p>
    <w:p>
      <w:pPr>
        <w:pStyle w:val="P30"/>
        <w:framePr w:w="3921" w:h="1055" w:hRule="exact" w:wrap="none" w:vAnchor="page" w:hAnchor="margin" w:x="6800" w:y="5117"/>
        <w:rPr>
          <w:rStyle w:val="C3"/>
          <w:rtl w:val="0"/>
        </w:rPr>
      </w:pPr>
    </w:p>
    <w:p>
      <w:pPr>
        <w:pStyle w:val="P31"/>
        <w:framePr w:w="3839" w:h="928" w:hRule="exact" w:wrap="none" w:vAnchor="page" w:hAnchor="margin" w:x="6856" w:y="5173"/>
        <w:rPr>
          <w:rStyle w:val="C22"/>
          <w:rtl w:val="0"/>
        </w:rPr>
      </w:pPr>
      <w:r>
        <w:rPr>
          <w:rStyle w:val="C22"/>
          <w:rtl w:val="0"/>
        </w:rPr>
        <w:t>Ústní ověření</w:t>
      </w:r>
    </w:p>
    <w:p>
      <w:pPr>
        <w:pStyle w:val="P12"/>
        <w:framePr w:w="6710" w:h="1055" w:hRule="exact" w:wrap="none" w:vAnchor="page" w:hAnchor="margin" w:x="45" w:y="6173"/>
        <w:rPr>
          <w:rStyle w:val="C3"/>
          <w:rtl w:val="0"/>
        </w:rPr>
      </w:pPr>
    </w:p>
    <w:p>
      <w:pPr>
        <w:pStyle w:val="P13"/>
        <w:framePr w:w="6658" w:h="928" w:hRule="exact" w:wrap="none" w:vAnchor="page" w:hAnchor="margin" w:x="71" w:y="6229"/>
        <w:rPr>
          <w:rStyle w:val="C11"/>
          <w:rtl w:val="0"/>
        </w:rPr>
      </w:pPr>
      <w:r>
        <w:rPr>
          <w:rStyle w:val="C11"/>
          <w:rtl w:val="0"/>
        </w:rPr>
        <w:t>e) Vysvětlit základní pojmy a obsah vyhlášky o postupu pro určování znečištění odpadních vod, provádění odečtů množství znečištění a měření objemu vypouštěných odpadních vod do vod povrchových č. 328/2018 Sb., v platném znění</w:t>
      </w:r>
    </w:p>
    <w:p>
      <w:pPr>
        <w:pStyle w:val="P28"/>
        <w:framePr w:w="3921" w:h="1055" w:hRule="exact" w:wrap="none" w:vAnchor="page" w:hAnchor="margin" w:x="6800" w:y="6173"/>
        <w:rPr>
          <w:rStyle w:val="C3"/>
          <w:rtl w:val="0"/>
        </w:rPr>
      </w:pPr>
    </w:p>
    <w:p>
      <w:pPr>
        <w:pStyle w:val="P29"/>
        <w:framePr w:w="3839" w:h="928" w:hRule="exact" w:wrap="none" w:vAnchor="page" w:hAnchor="margin" w:x="6856" w:y="6229"/>
        <w:rPr>
          <w:rStyle w:val="C21"/>
          <w:rtl w:val="0"/>
        </w:rPr>
      </w:pPr>
      <w:r>
        <w:rPr>
          <w:rStyle w:val="C21"/>
          <w:rtl w:val="0"/>
        </w:rPr>
        <w:t>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Vysvětlit základní pojmy a obsah zákona o vodovodech a kanalizacích č. 274/2001 Sb., obsah vyhlášky, kterou se provádí zákon č. 274/2001 Sb. o vodovodech a kanalizacích č. 428/2001 Sb., v platném znění</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Ústní ověření</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g) Vysvětlit základní pojmy a obsah zákona o odpadech č. 185/2001 Sb., v platném znění, zejména v části 3</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Ústní ověření</w:t>
      </w:r>
    </w:p>
    <w:p>
      <w:pPr>
        <w:pStyle w:val="P16"/>
        <w:framePr w:w="6710" w:h="831" w:hRule="exact" w:wrap="none" w:vAnchor="page" w:hAnchor="margin" w:x="45" w:y="8666"/>
        <w:rPr>
          <w:rStyle w:val="C3"/>
          <w:rtl w:val="0"/>
        </w:rPr>
      </w:pPr>
    </w:p>
    <w:p>
      <w:pPr>
        <w:pStyle w:val="P17"/>
        <w:framePr w:w="6658" w:h="704" w:hRule="exact" w:wrap="none" w:vAnchor="page" w:hAnchor="margin" w:x="71" w:y="8722"/>
        <w:rPr>
          <w:rStyle w:val="C13"/>
          <w:rtl w:val="0"/>
        </w:rPr>
      </w:pPr>
      <w:r>
        <w:rPr>
          <w:rStyle w:val="C13"/>
          <w:rtl w:val="0"/>
        </w:rPr>
        <w:t>h) Vysvětlit základní pojmy a obsah vyhlášky č. 252/2004 Sb., kterou se stanoví hygienické požadavky na pitnou a teplou vodu a četnost a rozsah kontroly pitné vody v platném znění</w:t>
      </w:r>
    </w:p>
    <w:p>
      <w:pPr>
        <w:pStyle w:val="P30"/>
        <w:framePr w:w="3921" w:h="831" w:hRule="exact" w:wrap="none" w:vAnchor="page" w:hAnchor="margin" w:x="6800" w:y="8666"/>
        <w:rPr>
          <w:rStyle w:val="C3"/>
          <w:rtl w:val="0"/>
        </w:rPr>
      </w:pPr>
    </w:p>
    <w:p>
      <w:pPr>
        <w:pStyle w:val="P31"/>
        <w:framePr w:w="3839" w:h="704" w:hRule="exact" w:wrap="none" w:vAnchor="page" w:hAnchor="margin" w:x="6856" w:y="8722"/>
        <w:rPr>
          <w:rStyle w:val="C22"/>
          <w:rtl w:val="0"/>
        </w:rPr>
      </w:pPr>
      <w:r>
        <w:rPr>
          <w:rStyle w:val="C22"/>
          <w:rtl w:val="0"/>
        </w:rPr>
        <w:t>Ústní ověření</w:t>
      </w:r>
    </w:p>
    <w:p>
      <w:pPr>
        <w:pStyle w:val="P12"/>
        <w:framePr w:w="6710" w:h="831" w:hRule="exact" w:wrap="none" w:vAnchor="page" w:hAnchor="margin" w:x="45" w:y="9497"/>
        <w:rPr>
          <w:rStyle w:val="C3"/>
          <w:rtl w:val="0"/>
        </w:rPr>
      </w:pPr>
    </w:p>
    <w:p>
      <w:pPr>
        <w:pStyle w:val="P13"/>
        <w:framePr w:w="6658" w:h="704" w:hRule="exact" w:wrap="none" w:vAnchor="page" w:hAnchor="margin" w:x="71" w:y="9553"/>
        <w:rPr>
          <w:rStyle w:val="C11"/>
          <w:rtl w:val="0"/>
        </w:rPr>
      </w:pPr>
      <w:r>
        <w:rPr>
          <w:rStyle w:val="C11"/>
          <w:rtl w:val="0"/>
        </w:rPr>
        <w:t>i) Orientovat se v konkrétním povolení k vypouštění odpadních vod do vod povrchových nebo podzemních a povolení k odběru podzemní nebo povrchové vody</w:t>
      </w:r>
    </w:p>
    <w:p>
      <w:pPr>
        <w:pStyle w:val="P28"/>
        <w:framePr w:w="3921" w:h="831" w:hRule="exact" w:wrap="none" w:vAnchor="page" w:hAnchor="margin" w:x="6800" w:y="9497"/>
        <w:rPr>
          <w:rStyle w:val="C3"/>
          <w:rtl w:val="0"/>
        </w:rPr>
      </w:pPr>
    </w:p>
    <w:p>
      <w:pPr>
        <w:pStyle w:val="P29"/>
        <w:framePr w:w="3839" w:h="704" w:hRule="exact" w:wrap="none" w:vAnchor="page" w:hAnchor="margin" w:x="6856" w:y="9553"/>
        <w:rPr>
          <w:rStyle w:val="C21"/>
          <w:rtl w:val="0"/>
        </w:rPr>
      </w:pPr>
      <w:r>
        <w:rPr>
          <w:rStyle w:val="C21"/>
          <w:rtl w:val="0"/>
        </w:rPr>
        <w:t>Praktické předvedení a ústní ověření</w:t>
      </w:r>
    </w:p>
    <w:p>
      <w:pPr>
        <w:pStyle w:val="P32"/>
        <w:framePr w:w="10710" w:h="248" w:hRule="exact" w:wrap="none" w:vAnchor="page" w:hAnchor="margin" w:x="28" w:y="10441"/>
        <w:rPr>
          <w:rStyle w:val="C23"/>
          <w:rtl w:val="0"/>
        </w:rPr>
      </w:pPr>
      <w:r>
        <w:rPr>
          <w:rStyle w:val="C23"/>
          <w:rtl w:val="0"/>
        </w:rPr>
        <w:t>Je třeba splnit všechna kritéria.</w:t>
      </w:r>
    </w:p>
    <w:p>
      <w:pPr>
        <w:pStyle w:val="P23"/>
        <w:framePr w:w="10710" w:h="340" w:hRule="exact" w:wrap="none" w:vAnchor="page" w:hAnchor="margin" w:x="28" w:y="10877"/>
        <w:rPr>
          <w:rStyle w:val="C18"/>
          <w:rtl w:val="0"/>
        </w:rPr>
      </w:pPr>
      <w:r>
        <w:rPr>
          <w:rStyle w:val="C18"/>
          <w:rtl w:val="0"/>
        </w:rPr>
        <w:t>Orientace v soustavě adresátů technicko-provozního reportingu ve vodním hospodářství</w:t>
      </w:r>
    </w:p>
    <w:p>
      <w:pPr>
        <w:pStyle w:val="P24"/>
        <w:framePr w:w="6713" w:h="376" w:hRule="exact" w:wrap="none" w:vAnchor="page" w:hAnchor="margin" w:x="45" w:y="11316"/>
        <w:rPr>
          <w:rStyle w:val="C3"/>
          <w:rtl w:val="0"/>
        </w:rPr>
      </w:pPr>
    </w:p>
    <w:p>
      <w:pPr>
        <w:pStyle w:val="P25"/>
        <w:framePr w:w="6661" w:h="249" w:hRule="exact" w:wrap="none" w:vAnchor="page" w:hAnchor="margin" w:x="71" w:y="11387"/>
        <w:rPr>
          <w:rStyle w:val="C19"/>
          <w:rtl w:val="0"/>
        </w:rPr>
      </w:pPr>
      <w:r>
        <w:rPr>
          <w:rStyle w:val="C19"/>
          <w:rtl w:val="0"/>
        </w:rPr>
        <w:t>Kritéria hodnocení</w:t>
      </w:r>
    </w:p>
    <w:p>
      <w:pPr>
        <w:pStyle w:val="P26"/>
        <w:framePr w:w="3918" w:h="376" w:hRule="exact" w:wrap="none" w:vAnchor="page" w:hAnchor="margin" w:x="6803" w:y="11316"/>
        <w:rPr>
          <w:rStyle w:val="C3"/>
          <w:rtl w:val="0"/>
        </w:rPr>
      </w:pPr>
    </w:p>
    <w:p>
      <w:pPr>
        <w:pStyle w:val="P27"/>
        <w:framePr w:w="3836" w:h="249" w:hRule="exact" w:wrap="none" w:vAnchor="page" w:hAnchor="margin" w:x="6859" w:y="11387"/>
        <w:rPr>
          <w:rStyle w:val="C20"/>
          <w:rtl w:val="0"/>
        </w:rPr>
      </w:pPr>
      <w:r>
        <w:rPr>
          <w:rStyle w:val="C20"/>
          <w:rtl w:val="0"/>
        </w:rPr>
        <w:t>Způsoby ověření</w:t>
      </w:r>
    </w:p>
    <w:p>
      <w:pPr>
        <w:pStyle w:val="P12"/>
        <w:framePr w:w="6710" w:h="607" w:hRule="exact" w:wrap="none" w:vAnchor="page" w:hAnchor="margin" w:x="45" w:y="11692"/>
        <w:rPr>
          <w:rStyle w:val="C3"/>
          <w:rtl w:val="0"/>
        </w:rPr>
      </w:pPr>
    </w:p>
    <w:p>
      <w:pPr>
        <w:pStyle w:val="P13"/>
        <w:framePr w:w="6658" w:h="480" w:hRule="exact" w:wrap="none" w:vAnchor="page" w:hAnchor="margin" w:x="71" w:y="11748"/>
        <w:rPr>
          <w:rStyle w:val="C11"/>
          <w:rtl w:val="0"/>
        </w:rPr>
      </w:pPr>
      <w:r>
        <w:rPr>
          <w:rStyle w:val="C11"/>
          <w:rtl w:val="0"/>
        </w:rPr>
        <w:t>a) Vyjmenovat orgány státní správy, kterým provozovatel poskytuje informace</w:t>
      </w:r>
    </w:p>
    <w:p>
      <w:pPr>
        <w:pStyle w:val="P28"/>
        <w:framePr w:w="3921" w:h="607" w:hRule="exact" w:wrap="none" w:vAnchor="page" w:hAnchor="margin" w:x="6800" w:y="11692"/>
        <w:rPr>
          <w:rStyle w:val="C3"/>
          <w:rtl w:val="0"/>
        </w:rPr>
      </w:pPr>
    </w:p>
    <w:p>
      <w:pPr>
        <w:pStyle w:val="P29"/>
        <w:framePr w:w="3839" w:h="480" w:hRule="exact" w:wrap="none" w:vAnchor="page" w:hAnchor="margin" w:x="6856" w:y="11748"/>
        <w:rPr>
          <w:rStyle w:val="C21"/>
          <w:rtl w:val="0"/>
        </w:rPr>
      </w:pPr>
      <w:r>
        <w:rPr>
          <w:rStyle w:val="C21"/>
          <w:rtl w:val="0"/>
        </w:rPr>
        <w:t>Ústní ověření</w:t>
      </w:r>
    </w:p>
    <w:p>
      <w:pPr>
        <w:pStyle w:val="P16"/>
        <w:framePr w:w="6710" w:h="376" w:hRule="exact" w:wrap="none" w:vAnchor="page" w:hAnchor="margin" w:x="45" w:y="12299"/>
        <w:rPr>
          <w:rStyle w:val="C3"/>
          <w:rtl w:val="0"/>
        </w:rPr>
      </w:pPr>
    </w:p>
    <w:p>
      <w:pPr>
        <w:pStyle w:val="P17"/>
        <w:framePr w:w="6658" w:h="249" w:hRule="exact" w:wrap="none" w:vAnchor="page" w:hAnchor="margin" w:x="71" w:y="12355"/>
        <w:rPr>
          <w:rStyle w:val="C13"/>
          <w:rtl w:val="0"/>
        </w:rPr>
      </w:pPr>
      <w:r>
        <w:rPr>
          <w:rStyle w:val="C13"/>
          <w:rtl w:val="0"/>
        </w:rPr>
        <w:t>b) Vyjmenovat další subjekty, kterým provozovatel poskytuje informace</w:t>
      </w:r>
    </w:p>
    <w:p>
      <w:pPr>
        <w:pStyle w:val="P30"/>
        <w:framePr w:w="3921" w:h="376" w:hRule="exact" w:wrap="none" w:vAnchor="page" w:hAnchor="margin" w:x="6800" w:y="12299"/>
        <w:rPr>
          <w:rStyle w:val="C3"/>
          <w:rtl w:val="0"/>
        </w:rPr>
      </w:pPr>
    </w:p>
    <w:p>
      <w:pPr>
        <w:pStyle w:val="P31"/>
        <w:framePr w:w="3839" w:h="249" w:hRule="exact" w:wrap="none" w:vAnchor="page" w:hAnchor="margin" w:x="6856" w:y="12355"/>
        <w:rPr>
          <w:rStyle w:val="C22"/>
          <w:rtl w:val="0"/>
        </w:rPr>
      </w:pPr>
      <w:r>
        <w:rPr>
          <w:rStyle w:val="C22"/>
          <w:rtl w:val="0"/>
        </w:rPr>
        <w:t>Ústní ověření</w:t>
      </w:r>
    </w:p>
    <w:p>
      <w:pPr>
        <w:pStyle w:val="P12"/>
        <w:framePr w:w="6710" w:h="607" w:hRule="exact" w:wrap="none" w:vAnchor="page" w:hAnchor="margin" w:x="45" w:y="12676"/>
        <w:rPr>
          <w:rStyle w:val="C3"/>
          <w:rtl w:val="0"/>
        </w:rPr>
      </w:pPr>
    </w:p>
    <w:p>
      <w:pPr>
        <w:pStyle w:val="P13"/>
        <w:framePr w:w="6658" w:h="480" w:hRule="exact" w:wrap="none" w:vAnchor="page" w:hAnchor="margin" w:x="71" w:y="12732"/>
        <w:rPr>
          <w:rStyle w:val="C11"/>
          <w:rtl w:val="0"/>
        </w:rPr>
      </w:pPr>
      <w:r>
        <w:rPr>
          <w:rStyle w:val="C11"/>
          <w:rtl w:val="0"/>
        </w:rPr>
        <w:t>c) Vysvětlit postup při písemném a elektronickém předání dat orgánům státní správy</w:t>
      </w:r>
    </w:p>
    <w:p>
      <w:pPr>
        <w:pStyle w:val="P28"/>
        <w:framePr w:w="3921" w:h="607" w:hRule="exact" w:wrap="none" w:vAnchor="page" w:hAnchor="margin" w:x="6800" w:y="12676"/>
        <w:rPr>
          <w:rStyle w:val="C3"/>
          <w:rtl w:val="0"/>
        </w:rPr>
      </w:pPr>
    </w:p>
    <w:p>
      <w:pPr>
        <w:pStyle w:val="P29"/>
        <w:framePr w:w="3839" w:h="480" w:hRule="exact" w:wrap="none" w:vAnchor="page" w:hAnchor="margin" w:x="6856" w:y="12732"/>
        <w:rPr>
          <w:rStyle w:val="C21"/>
          <w:rtl w:val="0"/>
        </w:rPr>
      </w:pPr>
      <w:r>
        <w:rPr>
          <w:rStyle w:val="C21"/>
          <w:rtl w:val="0"/>
        </w:rPr>
        <w:t>Ústní ověření</w:t>
      </w:r>
    </w:p>
    <w:p>
      <w:pPr>
        <w:pStyle w:val="P16"/>
        <w:framePr w:w="6710" w:h="376" w:hRule="exact" w:wrap="none" w:vAnchor="page" w:hAnchor="margin" w:x="45" w:y="13282"/>
        <w:rPr>
          <w:rStyle w:val="C3"/>
          <w:rtl w:val="0"/>
        </w:rPr>
      </w:pPr>
    </w:p>
    <w:p>
      <w:pPr>
        <w:pStyle w:val="P17"/>
        <w:framePr w:w="6658" w:h="249" w:hRule="exact" w:wrap="none" w:vAnchor="page" w:hAnchor="margin" w:x="71" w:y="13338"/>
        <w:rPr>
          <w:rStyle w:val="C13"/>
          <w:rtl w:val="0"/>
        </w:rPr>
      </w:pPr>
      <w:r>
        <w:rPr>
          <w:rStyle w:val="C13"/>
          <w:rtl w:val="0"/>
        </w:rPr>
        <w:t>d) Připravit písemnost s předáním reportu orgánům státní správy</w:t>
      </w:r>
    </w:p>
    <w:p>
      <w:pPr>
        <w:pStyle w:val="P30"/>
        <w:framePr w:w="3921" w:h="376" w:hRule="exact" w:wrap="none" w:vAnchor="page" w:hAnchor="margin" w:x="6800" w:y="13282"/>
        <w:rPr>
          <w:rStyle w:val="C3"/>
          <w:rtl w:val="0"/>
        </w:rPr>
      </w:pPr>
    </w:p>
    <w:p>
      <w:pPr>
        <w:pStyle w:val="P31"/>
        <w:framePr w:w="3839" w:h="249" w:hRule="exact" w:wrap="none" w:vAnchor="page" w:hAnchor="margin" w:x="6856" w:y="13338"/>
        <w:rPr>
          <w:rStyle w:val="C22"/>
          <w:rtl w:val="0"/>
        </w:rPr>
      </w:pPr>
      <w:r>
        <w:rPr>
          <w:rStyle w:val="C22"/>
          <w:rtl w:val="0"/>
        </w:rPr>
        <w:t>Praktické předvedení</w:t>
      </w:r>
    </w:p>
    <w:p>
      <w:pPr>
        <w:pStyle w:val="P32"/>
        <w:framePr w:w="10710" w:h="248" w:hRule="exact" w:wrap="none" w:vAnchor="page" w:hAnchor="margin" w:x="28" w:y="1377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13.6.2026 14:52:42</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objektové skladbě vodárenských a kanalizačních systémů v technicko-provozním reportingu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bilanci toků v objektové struktuře vodárenských systémů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bilanci toků v objektové struktuře kanalizačních systémů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druhy trubních materiálů vodovodních a stokových sítí a popsat jejich vlastnosti z hlediska technicko-provozního reportingu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Popsat požadavky na dokumentaci skutečného provedení staveb vodovodů a kanalizací z hlediska technicko-provozního reportingu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Aplikovat principy hmotnostní bilance ve zpracování výkazů o výrobě vody a čištění odpadních vod</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Analýza údajů technicko-provozního reportingu ve vodním hospodářství</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a) Vyjmenovat základní údaje pro reporty pro vnitřní potřebu provozovatele – o spotřebě energie, o výrobě vody, o čištění odpadních vod, o vodě nefakturované</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Ústní ověření</w:t>
      </w:r>
    </w:p>
    <w:p>
      <w:pPr>
        <w:pStyle w:val="P16"/>
        <w:framePr w:w="6710" w:h="831" w:hRule="exact" w:wrap="none" w:vAnchor="page" w:hAnchor="margin" w:x="45" w:y="7946"/>
        <w:rPr>
          <w:rStyle w:val="C3"/>
          <w:rtl w:val="0"/>
        </w:rPr>
      </w:pPr>
    </w:p>
    <w:p>
      <w:pPr>
        <w:pStyle w:val="P17"/>
        <w:framePr w:w="6658" w:h="704" w:hRule="exact" w:wrap="none" w:vAnchor="page" w:hAnchor="margin" w:x="71" w:y="8002"/>
        <w:rPr>
          <w:rStyle w:val="C13"/>
          <w:rtl w:val="0"/>
        </w:rPr>
      </w:pPr>
      <w:r>
        <w:rPr>
          <w:rStyle w:val="C13"/>
          <w:rtl w:val="0"/>
        </w:rPr>
        <w:t>b) Vysvětlit postup zpracování základních reportů pro vlastníka vodohospodářské infastruktury – zprávy o stavu provozovaného majetku, zprávy podle koncesních smluv a postup verifikace předávaných dat</w:t>
      </w:r>
    </w:p>
    <w:p>
      <w:pPr>
        <w:pStyle w:val="P30"/>
        <w:framePr w:w="3921" w:h="831" w:hRule="exact" w:wrap="none" w:vAnchor="page" w:hAnchor="margin" w:x="6800" w:y="7946"/>
        <w:rPr>
          <w:rStyle w:val="C3"/>
          <w:rtl w:val="0"/>
        </w:rPr>
      </w:pPr>
    </w:p>
    <w:p>
      <w:pPr>
        <w:pStyle w:val="P31"/>
        <w:framePr w:w="3839" w:h="704" w:hRule="exact" w:wrap="none" w:vAnchor="page" w:hAnchor="margin" w:x="6856" w:y="8002"/>
        <w:rPr>
          <w:rStyle w:val="C22"/>
          <w:rtl w:val="0"/>
        </w:rPr>
      </w:pPr>
      <w:r>
        <w:rPr>
          <w:rStyle w:val="C22"/>
          <w:rtl w:val="0"/>
        </w:rPr>
        <w:t>Ústní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c) Vysvětlit postup výpočtu smluvních pokut podle koncesní smlouvy</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d) Vyjmenovat reporty požadované ze strany orgánů státní správy v oblasti vodovodů a kanalizací</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Ústní ověření</w:t>
      </w:r>
    </w:p>
    <w:p>
      <w:pPr>
        <w:pStyle w:val="P12"/>
        <w:framePr w:w="6710" w:h="1055" w:hRule="exact" w:wrap="none" w:vAnchor="page" w:hAnchor="margin" w:x="45" w:y="9760"/>
        <w:rPr>
          <w:rStyle w:val="C3"/>
          <w:rtl w:val="0"/>
        </w:rPr>
      </w:pPr>
    </w:p>
    <w:p>
      <w:pPr>
        <w:pStyle w:val="P13"/>
        <w:framePr w:w="6658" w:h="928" w:hRule="exact" w:wrap="none" w:vAnchor="page" w:hAnchor="margin" w:x="71" w:y="9816"/>
        <w:rPr>
          <w:rStyle w:val="C11"/>
          <w:rtl w:val="0"/>
        </w:rPr>
      </w:pPr>
      <w:r>
        <w:rPr>
          <w:rStyle w:val="C11"/>
          <w:rtl w:val="0"/>
        </w:rPr>
        <w:t>e) Analyzovat vztahy mezi základními veličinami reportů pro vnitřní potřeby provozovatele, analyzovat poměrové ukazatele vůči běžně dosahovaným hodnotám (benchmark) a z těchto analýz vyvodit návrhy pro další postup provozovatele</w:t>
      </w:r>
    </w:p>
    <w:p>
      <w:pPr>
        <w:pStyle w:val="P28"/>
        <w:framePr w:w="3921" w:h="1055" w:hRule="exact" w:wrap="none" w:vAnchor="page" w:hAnchor="margin" w:x="6800" w:y="9760"/>
        <w:rPr>
          <w:rStyle w:val="C3"/>
          <w:rtl w:val="0"/>
        </w:rPr>
      </w:pPr>
    </w:p>
    <w:p>
      <w:pPr>
        <w:pStyle w:val="P29"/>
        <w:framePr w:w="3839" w:h="928" w:hRule="exact" w:wrap="none" w:vAnchor="page" w:hAnchor="margin" w:x="6856" w:y="9816"/>
        <w:rPr>
          <w:rStyle w:val="C21"/>
          <w:rtl w:val="0"/>
        </w:rPr>
      </w:pPr>
      <w:r>
        <w:rPr>
          <w:rStyle w:val="C21"/>
          <w:rtl w:val="0"/>
        </w:rPr>
        <w:t>Praktické předvedení a 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13.6.2026 14:52:42</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databáze údajů pro zpracování technicko-provozního reportingu ve vodním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zásady vedení databáze údajů nutných pro zpracování technicko-provozního reportingu (údaje o množství vody, kvalitě vody, spotřebě médií a surovin, provozované technologie) a vedení databáze předvést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systém sběru informací o poruchovosti vodovodů a kanalizací provozovatelem a vedení evidence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obsah popisných složek geografického informačního systému (GIS)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Vyjmenovat obsah popisných složek havarijního informačního systému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Vyjmenovat organizační složky provozovatele vodovodu a kanalizace provádějící prvotní sběr informací pro databázové informační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Analyzovat přehled výsledků z laboratorního informačního systému</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Vedení vodoprávní dokumentace</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Vysvětlit zásady vedení evidence povolení k odběru vod a vedení evidence předvést</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Vysvětlit zásady vedení evidence povolení k vypouštění odpadních vod</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Vysvětlit zásady vedení evidence kanalizačních řádů</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Vysvětlit zásady vedení evidence havarijních plánů</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e) Vysvětlit zásady vedení evidence týkající se poplatků podle zákona č. 254/2001 Sb. (Vodní zákon), v platném znění</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Ústní ověření</w:t>
      </w:r>
    </w:p>
    <w:p>
      <w:pPr>
        <w:pStyle w:val="P16"/>
        <w:framePr w:w="6710" w:h="607" w:hRule="exact" w:wrap="none" w:vAnchor="page" w:hAnchor="margin" w:x="45" w:y="10081"/>
        <w:rPr>
          <w:rStyle w:val="C3"/>
          <w:rtl w:val="0"/>
        </w:rPr>
      </w:pPr>
    </w:p>
    <w:p>
      <w:pPr>
        <w:pStyle w:val="P17"/>
        <w:framePr w:w="6658" w:h="480" w:hRule="exact" w:wrap="none" w:vAnchor="page" w:hAnchor="margin" w:x="71" w:y="10137"/>
        <w:rPr>
          <w:rStyle w:val="C13"/>
          <w:rtl w:val="0"/>
        </w:rPr>
      </w:pPr>
      <w:r>
        <w:rPr>
          <w:rStyle w:val="C13"/>
          <w:rtl w:val="0"/>
        </w:rPr>
        <w:t>f) Na základě evidence povolení a řádů navrhnout postup při vyřizování prodloužení a změn těchto povolení a řádů</w:t>
      </w:r>
    </w:p>
    <w:p>
      <w:pPr>
        <w:pStyle w:val="P30"/>
        <w:framePr w:w="3921" w:h="607" w:hRule="exact" w:wrap="none" w:vAnchor="page" w:hAnchor="margin" w:x="6800" w:y="10081"/>
        <w:rPr>
          <w:rStyle w:val="C3"/>
          <w:rtl w:val="0"/>
        </w:rPr>
      </w:pPr>
    </w:p>
    <w:p>
      <w:pPr>
        <w:pStyle w:val="P31"/>
        <w:framePr w:w="3839" w:h="480" w:hRule="exact" w:wrap="none" w:vAnchor="page" w:hAnchor="margin" w:x="6856" w:y="10137"/>
        <w:rPr>
          <w:rStyle w:val="C22"/>
          <w:rtl w:val="0"/>
        </w:rPr>
      </w:pPr>
      <w:r>
        <w:rPr>
          <w:rStyle w:val="C22"/>
          <w:rtl w:val="0"/>
        </w:rPr>
        <w:t>Praktické předvedení a 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13.6.2026 14:52:42</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reportů technicko-provozního reportingu ve vodním hospodářství pro orgány státní správy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hlášení týkající se poplatkové povinnosti – poplatkové hlášení a přiznání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Zpracovat hlášení pro ohlašovací povinnost vůči vodoprávnímu úřadu o vypouštěném znečištění, formulář F_VOD_38_4</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hlášení za odběr a vypouštění odpadních vod, tzv. vodní bilance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hlášení do integrovaného registru znečišťování životního prostředí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Zpracovat majetkovou a provozní evidenci podle vyhlášky č. 428/2001 Sb., v platném znění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376" w:hRule="exact" w:wrap="none" w:vAnchor="page" w:hAnchor="margin" w:x="45" w:y="6211"/>
        <w:rPr>
          <w:rStyle w:val="C3"/>
          <w:rtl w:val="0"/>
        </w:rPr>
      </w:pPr>
    </w:p>
    <w:p>
      <w:pPr>
        <w:pStyle w:val="P17"/>
        <w:framePr w:w="6658" w:h="249" w:hRule="exact" w:wrap="none" w:vAnchor="page" w:hAnchor="margin" w:x="71" w:y="6267"/>
        <w:rPr>
          <w:rStyle w:val="C13"/>
          <w:rtl w:val="0"/>
        </w:rPr>
      </w:pPr>
      <w:r>
        <w:rPr>
          <w:rStyle w:val="C13"/>
          <w:rtl w:val="0"/>
        </w:rPr>
        <w:t>f) Zpracovat statistické hlášení VH_08_1b</w:t>
      </w:r>
    </w:p>
    <w:p>
      <w:pPr>
        <w:pStyle w:val="P30"/>
        <w:framePr w:w="3921" w:h="376" w:hRule="exact" w:wrap="none" w:vAnchor="page" w:hAnchor="margin" w:x="6800" w:y="6211"/>
        <w:rPr>
          <w:rStyle w:val="C3"/>
          <w:rtl w:val="0"/>
        </w:rPr>
      </w:pPr>
    </w:p>
    <w:p>
      <w:pPr>
        <w:pStyle w:val="P31"/>
        <w:framePr w:w="3839" w:h="249" w:hRule="exact" w:wrap="none" w:vAnchor="page" w:hAnchor="margin" w:x="6856" w:y="6267"/>
        <w:rPr>
          <w:rStyle w:val="C22"/>
          <w:rtl w:val="0"/>
        </w:rPr>
      </w:pPr>
      <w:r>
        <w:rPr>
          <w:rStyle w:val="C22"/>
          <w:rtl w:val="0"/>
        </w:rPr>
        <w:t>Praktické předvedení a ústní ověření</w:t>
      </w:r>
    </w:p>
    <w:p>
      <w:pPr>
        <w:pStyle w:val="P12"/>
        <w:framePr w:w="6710" w:h="376" w:hRule="exact" w:wrap="none" w:vAnchor="page" w:hAnchor="margin" w:x="45" w:y="6587"/>
        <w:rPr>
          <w:rStyle w:val="C3"/>
          <w:rtl w:val="0"/>
        </w:rPr>
      </w:pPr>
    </w:p>
    <w:p>
      <w:pPr>
        <w:pStyle w:val="P13"/>
        <w:framePr w:w="6658" w:h="249" w:hRule="exact" w:wrap="none" w:vAnchor="page" w:hAnchor="margin" w:x="71" w:y="6643"/>
        <w:rPr>
          <w:rStyle w:val="C11"/>
          <w:rtl w:val="0"/>
        </w:rPr>
      </w:pPr>
      <w:r>
        <w:rPr>
          <w:rStyle w:val="C11"/>
          <w:rtl w:val="0"/>
        </w:rPr>
        <w:t>g) Vysvětlit přenos údajů o kvalitě pitné vody do informačního systému PiVo</w:t>
      </w:r>
    </w:p>
    <w:p>
      <w:pPr>
        <w:pStyle w:val="P28"/>
        <w:framePr w:w="3921" w:h="376" w:hRule="exact" w:wrap="none" w:vAnchor="page" w:hAnchor="margin" w:x="6800" w:y="6587"/>
        <w:rPr>
          <w:rStyle w:val="C3"/>
          <w:rtl w:val="0"/>
        </w:rPr>
      </w:pPr>
    </w:p>
    <w:p>
      <w:pPr>
        <w:pStyle w:val="P29"/>
        <w:framePr w:w="3839" w:h="249" w:hRule="exact" w:wrap="none" w:vAnchor="page" w:hAnchor="margin" w:x="6856" w:y="6643"/>
        <w:rPr>
          <w:rStyle w:val="C21"/>
          <w:rtl w:val="0"/>
        </w:rPr>
      </w:pPr>
      <w:r>
        <w:rPr>
          <w:rStyle w:val="C21"/>
          <w:rtl w:val="0"/>
        </w:rPr>
        <w:t>Ústní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h) Analyzovat údaje ze zpracovaných reportů, upozornit na problematické výsledky a vyvodit doporučení pro další postup provozovatele</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Praktické předvedení a ústní ověření</w:t>
      </w:r>
    </w:p>
    <w:p>
      <w:pPr>
        <w:pStyle w:val="P32"/>
        <w:framePr w:w="10710" w:h="248" w:hRule="exact" w:wrap="none" w:vAnchor="page" w:hAnchor="margin" w:x="28" w:y="768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13.6.2026 14:52:42</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legislativním rámci technicko-provozního reportingu ve vodním hospodářství - </w:t>
      </w:r>
      <w:r>
        <w:rPr>
          <w:rFonts w:ascii="Arial" w:cs="Arial" w:hAnsi="Arial" w:eastAsia="Arial"/>
          <w:b w:val="0"/>
          <w:i w:val="0"/>
          <w:caps w:val="0"/>
          <w:strike w:val="0"/>
          <w:noProof w:val="0"/>
          <w:vanish w:val="0"/>
          <w:color w:val="auto"/>
          <w:sz w:val="20"/>
          <w:u w:val="none"/>
          <w:shd w:val="clear" w:color="auto" w:fill="auto"/>
          <w:vertAlign w:val="baseline"/>
          <w:lang/>
        </w:rPr>
        <w:t>kritérium i) - Orientovat se v konkrétním povolení k vypouštění odpadních vod do vod povrchových nebo podzemních a povolení k odběru podzemní nebo povrchové vody - AOs připraví vybraná povolení, uchazeč popíše jejich součásti ve vztahu k povinnostem provozovatele a reportovaným údajům.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soustavě adresátů technicko-provozního reportingu ve vodním hospodářstv</w:t>
      </w:r>
      <w:r>
        <w:rPr>
          <w:rFonts w:ascii="Arial" w:cs="Arial" w:hAnsi="Arial" w:eastAsia="Arial"/>
          <w:b w:val="0"/>
          <w:i w:val="0"/>
          <w:caps w:val="0"/>
          <w:strike w:val="0"/>
          <w:noProof w:val="0"/>
          <w:vanish w:val="0"/>
          <w:color w:val="auto"/>
          <w:sz w:val="20"/>
          <w:u w:val="none"/>
          <w:shd w:val="clear" w:color="auto" w:fill="auto"/>
          <w:vertAlign w:val="baseline"/>
          <w:lang/>
        </w:rPr>
        <w:t>í - kriterium d) - Připravit písemnost s předáním reportu orgánům státní správy - AOs připraví vybrané hlášení, uchazeč vyhotoví průvodní dopis k danému hlášení, vysvětlí, jakým způsobem by provedl odeslání.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objektové skladbě vodárenských a kanalizačních systémů v technicko-provozním reportingu - </w:t>
      </w:r>
      <w:r>
        <w:rPr>
          <w:rFonts w:ascii="Arial" w:cs="Arial" w:hAnsi="Arial" w:eastAsia="Arial"/>
          <w:b w:val="0"/>
          <w:i w:val="0"/>
          <w:caps w:val="0"/>
          <w:strike w:val="0"/>
          <w:noProof w:val="0"/>
          <w:vanish w:val="0"/>
          <w:color w:val="auto"/>
          <w:sz w:val="20"/>
          <w:u w:val="none"/>
          <w:shd w:val="clear" w:color="auto" w:fill="auto"/>
          <w:vertAlign w:val="baseline"/>
          <w:lang/>
        </w:rPr>
        <w:t>kritérium 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Aplikovat principy hmotnostní bilance ve zpracování výkazů o výrobě vody a čištění odpadních vod - AOs připraví schéma vodárenského nebo kanalizačního systému vč. údajů o průtocích, uchazeč analyzuje tyto údaje a vyhodnotí základní ukazatele výroby vody a čištění odpadních vod pro připravenou modelovou situaci.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Analýza údajů technicko-provozního reportingu ve vodním hospodářství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 e) - Analyzovat vztahy mezi základními veličinami reportů pro vnitřní potřeby provozovatele, analyzovat poměrové ukazatele vůči běžně dosahovaným hodnotám (benchmark) a z těchto analýz vyvodit návrhy pro další postup provozovatele - AOs připraví sadu poměrových ukazatelů vč. benchmarku, uchazeč provede rozbor těchto údajů a sestaví modelové doporučení dalšího postupu.</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Vedení databáze údajů pro zpracování technicko-provozního reportingu - </w:t>
      </w:r>
      <w:r>
        <w:rPr>
          <w:rFonts w:ascii="Arial" w:cs="Arial" w:hAnsi="Arial" w:eastAsia="Arial"/>
          <w:b w:val="0"/>
          <w:i w:val="0"/>
          <w:caps w:val="0"/>
          <w:strike w:val="0"/>
          <w:noProof w:val="0"/>
          <w:vanish w:val="0"/>
          <w:color w:val="auto"/>
          <w:sz w:val="20"/>
          <w:u w:val="none"/>
          <w:shd w:val="clear" w:color="auto" w:fill="auto"/>
          <w:vertAlign w:val="baseline"/>
          <w:lang/>
        </w:rPr>
        <w:t>kritérium f - Analyzovat přehled výsledků z laboratorního informačního systému - AOs připraví výstup výsledků z laboratorního informačního systému vč. limitovaných ukazatelů, uchazeč provede rozbor těchto údajů z hlediska plnění limitů a poplatkových povinností.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Vedení vodoprávní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 f) - Na základě evidence povolení a řádů navrhnout postup při vyřizování prodloužení a změn těchto povolení a řádů - AOs připraví evidenci vodoprávních povolení a řádů a modelovou situaci (např. končící povolení, plánované napojení dalších zdrojů znečištění, rozšíření vodovodní nebo kanalizační sítě), uchazeč navrhne řešení ve formě úprav povolení a řádů.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reportů technicko-provozního reportingu ve vodním hospodářství pro orgány státní správy</w:t>
      </w:r>
      <w:r>
        <w:rPr>
          <w:rFonts w:ascii="Arial" w:cs="Arial" w:hAnsi="Arial" w:eastAsia="Arial"/>
          <w:b w:val="0"/>
          <w:i w:val="0"/>
          <w:caps w:val="0"/>
          <w:strike w:val="0"/>
          <w:noProof w:val="0"/>
          <w:vanish w:val="0"/>
          <w:color w:val="auto"/>
          <w:sz w:val="20"/>
          <w:u w:val="none"/>
          <w:shd w:val="clear" w:color="auto" w:fill="auto"/>
          <w:vertAlign w:val="baseline"/>
          <w:lang/>
        </w:rPr>
        <w:t xml:space="preserve"> - Zpracování hlášení podle kritérií a) - f) - AOs připraví údaje potřebné pro zpracování hlášení a příslušné formuláře v papírové nebo elektronické podobě, uchazeč vyhotoví hlášení podle připravených podkladů.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ke kvalitě výstupů a dodržování platných norem. Přitom je nutno posuzovat nejen dosažený výsledek, ale i samostatnost při rozhodování o nejvhodnějším postupu řešení zadaného úkolu podle daných podmínek.</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13.6.2026 14:52:42</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vodárenství nebo ekologie nebo technologie vody a alespoň 5 let odborné praxe v oblasti vodárenství nebo technologie vody nebo ve funkci učitele praktického vyučování nebo odborného výcviku v oblasti vodárenství nebo ekologie nebo technologie vody.</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vodárenství nebo ekologie nebo technologie vody a alespoň 5 let odborné praxe v oblasti vodárenství nebo technologie vody nebo ve funkci učitele odborných předmětů nebo praktického vyučování nebo odborného výcviku v oblasti vodárenství nebo ekologie nebo technologie vody.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13.6.2026 14:52:42</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počítač s připojením k internetu, kancelářským SW, SW pro zpracování majetkové a provozní evidence </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podle obsahu příslušné kompetence (např. VH_08_1b, F_VOD_38_4 apod.), které jsou dostupné na portálech veřejné správy, formuláře pro zpracování popatkových hlášení, vodní bilance, integrovaného registru znečišťování, povolení na vypouštění odpadních vod, povolení na odběr vod, modelové výkazy o výrobě vody a čištění odpadních vod,</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•databází základních poměrových ukazatelů – spotřeba energie na vyčištěný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kg CHSK, kg BSK, spotřeba energie na výrobu 1m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vody, ztráty vody v jednotlivých stupních výroby a distribuce,</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 ze systému ve formě Excel tabulky pro analýzu přehledu výsledků z laboratorního informačního systému </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povolení v podobě tabulky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•report s fiktivním překročením právních povinností – např. překročení limitů kvality vypouštěné vody, překročení limitu množství vypouštěné vody, překročení limitu odběru vody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normy uvedené v kompetenci Orientace v legislativním rámci technicko-provozního reportingu ve vodním hospodářství v tištěné nebo elektronické podobě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2,5 až 3,5 hodiny (hodinou se rozumí 60 minut). </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13.6.2026 14:52:42</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13.6.2026 14:52:42</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E559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9E05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1CAA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