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E6A9AC" Type="http://schemas.openxmlformats.org/officeDocument/2006/relationships/officeDocument" Target="/word/document.xml" /><Relationship Id="coreR16E6A9AC" Type="http://schemas.openxmlformats.org/package/2006/relationships/metadata/core-properties" Target="/docProps/core.xml" /><Relationship Id="customR16E6A9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 nízkotlakých parních kotlů (kód: 69-059-E)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parních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nízkotlakých parních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výměníkových nebo redukčních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Topič nízkotlakých parních kotlů, 1.5.2026 14:36:03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Specifikovat způsob ochrany tepelné soustavy (zdroje tepla) proti překročení nejvyššího dovoleného přetlaku dle ČSN 06 0830</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Uvést normovou hodnotu dle ČSN 06 0830 pro nejvyšší dovolený pracovní přetlak NTL parního kotle, který je závislý na výšce vodního sloupce v pojistném zařízení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Písemně s ústním zdůvodněním</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Specifikovat manipulace dle ČSN 06 0830, které je nutno provést při překročení nejvyššího pracovního přetlaku a vyfukování pojistného zařízení NTL parního kotle</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Písemně s ústním zdůvodněním</w:t>
      </w:r>
    </w:p>
    <w:p>
      <w:pPr>
        <w:pStyle w:val="P12"/>
        <w:framePr w:w="6710" w:h="1728" w:hRule="exact" w:wrap="none" w:vAnchor="page" w:hAnchor="margin" w:x="45" w:y="7156"/>
        <w:rPr>
          <w:rStyle w:val="C3"/>
          <w:rtl w:val="0"/>
        </w:rPr>
      </w:pPr>
    </w:p>
    <w:p>
      <w:pPr>
        <w:pStyle w:val="P13"/>
        <w:framePr w:w="6658" w:h="1601" w:hRule="exact" w:wrap="none" w:vAnchor="page" w:hAnchor="margin" w:x="71" w:y="7212"/>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156"/>
        <w:rPr>
          <w:rStyle w:val="C3"/>
          <w:rtl w:val="0"/>
        </w:rPr>
      </w:pPr>
    </w:p>
    <w:p>
      <w:pPr>
        <w:pStyle w:val="P29"/>
        <w:framePr w:w="3839" w:h="1601" w:hRule="exact" w:wrap="none" w:vAnchor="page" w:hAnchor="margin" w:x="6856" w:y="7212"/>
        <w:rPr>
          <w:rStyle w:val="C21"/>
          <w:rtl w:val="0"/>
        </w:rPr>
      </w:pPr>
      <w:r>
        <w:rPr>
          <w:rStyle w:val="C21"/>
          <w:rtl w:val="0"/>
        </w:rPr>
        <w:t>Písemně s ústním zdůvodněním</w:t>
      </w:r>
    </w:p>
    <w:p>
      <w:pPr>
        <w:pStyle w:val="P16"/>
        <w:framePr w:w="6710" w:h="1055" w:hRule="exact" w:wrap="none" w:vAnchor="page" w:hAnchor="margin" w:x="45" w:y="8884"/>
        <w:rPr>
          <w:rStyle w:val="C3"/>
          <w:rtl w:val="0"/>
        </w:rPr>
      </w:pPr>
    </w:p>
    <w:p>
      <w:pPr>
        <w:pStyle w:val="P17"/>
        <w:framePr w:w="6658" w:h="928" w:hRule="exact" w:wrap="none" w:vAnchor="page" w:hAnchor="margin" w:x="71" w:y="8940"/>
        <w:rPr>
          <w:rStyle w:val="C13"/>
          <w:rtl w:val="0"/>
        </w:rPr>
      </w:pPr>
      <w:r>
        <w:rPr>
          <w:rStyle w:val="C13"/>
          <w:rtl w:val="0"/>
        </w:rPr>
        <w:t xml:space="preserve">h) Uvést normovou hodnotu dle ČSN 38 6405 pro minimální časový interval kontroly </w:t>
        <w:br w:type="textWrapping"/>
        <w:t>-</w:t>
        <w:tab/>
        <w:t>úniku spalin ze spotřebičů nebo odtahů</w:t>
        <w:br w:type="textWrapping"/>
        <w:t>-</w:t>
        <w:tab/>
        <w:t>funkce detektorů a pojistek plamene</w:t>
      </w:r>
    </w:p>
    <w:p>
      <w:pPr>
        <w:pStyle w:val="P30"/>
        <w:framePr w:w="3921" w:h="1055" w:hRule="exact" w:wrap="none" w:vAnchor="page" w:hAnchor="margin" w:x="6800" w:y="8884"/>
        <w:rPr>
          <w:rStyle w:val="C3"/>
          <w:rtl w:val="0"/>
        </w:rPr>
      </w:pPr>
    </w:p>
    <w:p>
      <w:pPr>
        <w:pStyle w:val="P31"/>
        <w:framePr w:w="3839" w:h="928" w:hRule="exact" w:wrap="none" w:vAnchor="page" w:hAnchor="margin" w:x="6856" w:y="8940"/>
        <w:rPr>
          <w:rStyle w:val="C22"/>
          <w:rtl w:val="0"/>
        </w:rPr>
      </w:pPr>
      <w:r>
        <w:rPr>
          <w:rStyle w:val="C22"/>
          <w:rtl w:val="0"/>
        </w:rPr>
        <w:t>Písemně s ústním zdůvodněním</w:t>
      </w:r>
    </w:p>
    <w:p>
      <w:pPr>
        <w:pStyle w:val="P12"/>
        <w:framePr w:w="6710" w:h="376" w:hRule="exact" w:wrap="none" w:vAnchor="page" w:hAnchor="margin" w:x="45" w:y="9939"/>
        <w:rPr>
          <w:rStyle w:val="C3"/>
          <w:rtl w:val="0"/>
        </w:rPr>
      </w:pPr>
    </w:p>
    <w:p>
      <w:pPr>
        <w:pStyle w:val="P13"/>
        <w:framePr w:w="6658" w:h="249" w:hRule="exact" w:wrap="none" w:vAnchor="page" w:hAnchor="margin" w:x="71" w:y="9995"/>
        <w:rPr>
          <w:rStyle w:val="C11"/>
          <w:rtl w:val="0"/>
        </w:rPr>
      </w:pPr>
      <w:r>
        <w:rPr>
          <w:rStyle w:val="C11"/>
          <w:rtl w:val="0"/>
        </w:rPr>
        <w:t>i) Popsat způsoby zjišťování netěsností dle ČSN 38 6405</w:t>
      </w:r>
    </w:p>
    <w:p>
      <w:pPr>
        <w:pStyle w:val="P28"/>
        <w:framePr w:w="3921" w:h="376" w:hRule="exact" w:wrap="none" w:vAnchor="page" w:hAnchor="margin" w:x="6800" w:y="9939"/>
        <w:rPr>
          <w:rStyle w:val="C3"/>
          <w:rtl w:val="0"/>
        </w:rPr>
      </w:pPr>
    </w:p>
    <w:p>
      <w:pPr>
        <w:pStyle w:val="P29"/>
        <w:framePr w:w="3839" w:h="249" w:hRule="exact" w:wrap="none" w:vAnchor="page" w:hAnchor="margin" w:x="6856" w:y="9995"/>
        <w:rPr>
          <w:rStyle w:val="C21"/>
          <w:rtl w:val="0"/>
        </w:rPr>
      </w:pPr>
      <w:r>
        <w:rPr>
          <w:rStyle w:val="C21"/>
          <w:rtl w:val="0"/>
        </w:rPr>
        <w:t>Písemně s ústním zdůvodněním</w:t>
      </w:r>
    </w:p>
    <w:p>
      <w:pPr>
        <w:pStyle w:val="P32"/>
        <w:framePr w:w="10710" w:h="248" w:hRule="exact" w:wrap="none" w:vAnchor="page" w:hAnchor="margin" w:x="28" w:y="10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parních kotlů, 1.5.2026 14:36:03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nízkotlakých parních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ústním zdůvodněním</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Písemně s ústním zdůvodněním</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Písemně s ústním zdůvodněním</w:t>
      </w:r>
    </w:p>
    <w:p>
      <w:pPr>
        <w:pStyle w:val="P16"/>
        <w:framePr w:w="6710" w:h="376" w:hRule="exact" w:wrap="none" w:vAnchor="page" w:hAnchor="margin" w:x="45" w:y="6353"/>
        <w:rPr>
          <w:rStyle w:val="C3"/>
          <w:rtl w:val="0"/>
        </w:rPr>
      </w:pPr>
    </w:p>
    <w:p>
      <w:pPr>
        <w:pStyle w:val="P17"/>
        <w:framePr w:w="6658" w:h="249" w:hRule="exact" w:wrap="none" w:vAnchor="page" w:hAnchor="margin" w:x="71" w:y="6409"/>
        <w:rPr>
          <w:rStyle w:val="C13"/>
          <w:rtl w:val="0"/>
        </w:rPr>
      </w:pPr>
      <w:r>
        <w:rPr>
          <w:rStyle w:val="C13"/>
          <w:rtl w:val="0"/>
        </w:rPr>
        <w:t>d) Popsat způsoby zjišťování netěsností dle ČSN 38 6405</w:t>
      </w:r>
    </w:p>
    <w:p>
      <w:pPr>
        <w:pStyle w:val="P30"/>
        <w:framePr w:w="3921" w:h="376" w:hRule="exact" w:wrap="none" w:vAnchor="page" w:hAnchor="margin" w:x="6800" w:y="6353"/>
        <w:rPr>
          <w:rStyle w:val="C3"/>
          <w:rtl w:val="0"/>
        </w:rPr>
      </w:pPr>
    </w:p>
    <w:p>
      <w:pPr>
        <w:pStyle w:val="P31"/>
        <w:framePr w:w="3839" w:h="249" w:hRule="exact" w:wrap="none" w:vAnchor="page" w:hAnchor="margin" w:x="6856" w:y="6409"/>
        <w:rPr>
          <w:rStyle w:val="C22"/>
          <w:rtl w:val="0"/>
        </w:rPr>
      </w:pPr>
      <w:r>
        <w:rPr>
          <w:rStyle w:val="C22"/>
          <w:rtl w:val="0"/>
        </w:rPr>
        <w:t>Písemně s ústním zdůvodněním</w:t>
      </w:r>
    </w:p>
    <w:p>
      <w:pPr>
        <w:pStyle w:val="P12"/>
        <w:framePr w:w="6710" w:h="1504" w:hRule="exact" w:wrap="none" w:vAnchor="page" w:hAnchor="margin" w:x="45" w:y="6730"/>
        <w:rPr>
          <w:rStyle w:val="C3"/>
          <w:rtl w:val="0"/>
        </w:rPr>
      </w:pPr>
    </w:p>
    <w:p>
      <w:pPr>
        <w:pStyle w:val="P13"/>
        <w:framePr w:w="6658" w:h="1377" w:hRule="exact" w:wrap="none" w:vAnchor="page" w:hAnchor="margin" w:x="71" w:y="6786"/>
        <w:rPr>
          <w:rStyle w:val="C11"/>
          <w:rtl w:val="0"/>
        </w:rPr>
      </w:pPr>
      <w:r>
        <w:rPr>
          <w:rStyle w:val="C11"/>
          <w:rtl w:val="0"/>
        </w:rPr>
        <w:t>e)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28"/>
        <w:framePr w:w="3921" w:h="1504" w:hRule="exact" w:wrap="none" w:vAnchor="page" w:hAnchor="margin" w:x="6800" w:y="6730"/>
        <w:rPr>
          <w:rStyle w:val="C3"/>
          <w:rtl w:val="0"/>
        </w:rPr>
      </w:pPr>
    </w:p>
    <w:p>
      <w:pPr>
        <w:pStyle w:val="P29"/>
        <w:framePr w:w="3839" w:h="1377" w:hRule="exact" w:wrap="none" w:vAnchor="page" w:hAnchor="margin" w:x="6856" w:y="6786"/>
        <w:rPr>
          <w:rStyle w:val="C21"/>
          <w:rtl w:val="0"/>
        </w:rPr>
      </w:pPr>
      <w:r>
        <w:rPr>
          <w:rStyle w:val="C21"/>
          <w:rtl w:val="0"/>
        </w:rPr>
        <w:t>Písemně s ústním zdůvodněním</w:t>
      </w:r>
    </w:p>
    <w:p>
      <w:pPr>
        <w:pStyle w:val="P16"/>
        <w:framePr w:w="6710" w:h="607" w:hRule="exact" w:wrap="none" w:vAnchor="page" w:hAnchor="margin" w:x="45" w:y="8234"/>
        <w:rPr>
          <w:rStyle w:val="C3"/>
          <w:rtl w:val="0"/>
        </w:rPr>
      </w:pPr>
    </w:p>
    <w:p>
      <w:pPr>
        <w:pStyle w:val="P17"/>
        <w:framePr w:w="6658" w:h="480" w:hRule="exact" w:wrap="none" w:vAnchor="page" w:hAnchor="margin" w:x="71" w:y="8290"/>
        <w:rPr>
          <w:rStyle w:val="C13"/>
          <w:rtl w:val="0"/>
        </w:rPr>
      </w:pPr>
      <w:r>
        <w:rPr>
          <w:rStyle w:val="C13"/>
          <w:rtl w:val="0"/>
        </w:rPr>
        <w:t>f) Uvést normovou hodnotu dle ČSN 44 1315 pro teplotu paliva, jejíž překročení se kontroluje při přejímce do skladu</w:t>
      </w:r>
    </w:p>
    <w:p>
      <w:pPr>
        <w:pStyle w:val="P30"/>
        <w:framePr w:w="3921" w:h="607" w:hRule="exact" w:wrap="none" w:vAnchor="page" w:hAnchor="margin" w:x="6800" w:y="8234"/>
        <w:rPr>
          <w:rStyle w:val="C3"/>
          <w:rtl w:val="0"/>
        </w:rPr>
      </w:pPr>
    </w:p>
    <w:p>
      <w:pPr>
        <w:pStyle w:val="P31"/>
        <w:framePr w:w="3839" w:h="480" w:hRule="exact" w:wrap="none" w:vAnchor="page" w:hAnchor="margin" w:x="6856" w:y="8290"/>
        <w:rPr>
          <w:rStyle w:val="C22"/>
          <w:rtl w:val="0"/>
        </w:rPr>
      </w:pPr>
      <w:r>
        <w:rPr>
          <w:rStyle w:val="C22"/>
          <w:rtl w:val="0"/>
        </w:rPr>
        <w:t>Písemně s ústním zdůvodněním</w:t>
      </w:r>
    </w:p>
    <w:p>
      <w:pPr>
        <w:pStyle w:val="P12"/>
        <w:framePr w:w="6710" w:h="607" w:hRule="exact" w:wrap="none" w:vAnchor="page" w:hAnchor="margin" w:x="45" w:y="8840"/>
        <w:rPr>
          <w:rStyle w:val="C3"/>
          <w:rtl w:val="0"/>
        </w:rPr>
      </w:pPr>
    </w:p>
    <w:p>
      <w:pPr>
        <w:pStyle w:val="P13"/>
        <w:framePr w:w="6658" w:h="480" w:hRule="exact" w:wrap="none" w:vAnchor="page" w:hAnchor="margin" w:x="71" w:y="8896"/>
        <w:rPr>
          <w:rStyle w:val="C11"/>
          <w:rtl w:val="0"/>
        </w:rPr>
      </w:pPr>
      <w:r>
        <w:rPr>
          <w:rStyle w:val="C11"/>
          <w:rtl w:val="0"/>
        </w:rPr>
        <w:t>g) Uvést normovou hodnotu dle ČSN 44 1315 pro maximální dovolenou výšku hromady hnědého uhlí tříděného a praného</w:t>
      </w:r>
    </w:p>
    <w:p>
      <w:pPr>
        <w:pStyle w:val="P28"/>
        <w:framePr w:w="3921" w:h="607" w:hRule="exact" w:wrap="none" w:vAnchor="page" w:hAnchor="margin" w:x="6800" w:y="8840"/>
        <w:rPr>
          <w:rStyle w:val="C3"/>
          <w:rtl w:val="0"/>
        </w:rPr>
      </w:pPr>
    </w:p>
    <w:p>
      <w:pPr>
        <w:pStyle w:val="P29"/>
        <w:framePr w:w="3839" w:h="480" w:hRule="exact" w:wrap="none" w:vAnchor="page" w:hAnchor="margin" w:x="6856" w:y="8896"/>
        <w:rPr>
          <w:rStyle w:val="C21"/>
          <w:rtl w:val="0"/>
        </w:rPr>
      </w:pPr>
      <w:r>
        <w:rPr>
          <w:rStyle w:val="C21"/>
          <w:rtl w:val="0"/>
        </w:rPr>
        <w:t>Písemně s ústním zdůvodněním</w:t>
      </w:r>
    </w:p>
    <w:p>
      <w:pPr>
        <w:pStyle w:val="P32"/>
        <w:framePr w:w="10710" w:h="248" w:hRule="exact" w:wrap="none" w:vAnchor="page" w:hAnchor="margin" w:x="28" w:y="9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parních kotlů, 1.5.2026 14:36:03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nízkotlakého kotle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napájecí vodu pro NTL parní kotel dle ČSN 07 7401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základní vlastnosti napájecí vody NTL parního kotle dle ČSN 07 7401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Odebrat vzorek kotelní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1280" w:hRule="exact" w:wrap="none" w:vAnchor="page" w:hAnchor="margin" w:x="45" w:y="4329"/>
        <w:rPr>
          <w:rStyle w:val="C3"/>
          <w:rtl w:val="0"/>
        </w:rPr>
      </w:pPr>
    </w:p>
    <w:p>
      <w:pPr>
        <w:pStyle w:val="P17"/>
        <w:framePr w:w="6658" w:h="1153" w:hRule="exact" w:wrap="none" w:vAnchor="page" w:hAnchor="margin" w:x="71" w:y="4385"/>
        <w:rPr>
          <w:rStyle w:val="C13"/>
          <w:rtl w:val="0"/>
        </w:rPr>
      </w:pPr>
      <w:r>
        <w:rPr>
          <w:rStyle w:val="C13"/>
          <w:rtl w:val="0"/>
        </w:rPr>
        <w:t>d) Uvést normovou hodnotu dle ČSN 07 0711 pro doporučený časový interval</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4329"/>
        <w:rPr>
          <w:rStyle w:val="C3"/>
          <w:rtl w:val="0"/>
        </w:rPr>
      </w:pPr>
    </w:p>
    <w:p>
      <w:pPr>
        <w:pStyle w:val="P31"/>
        <w:framePr w:w="3839" w:h="1153" w:hRule="exact" w:wrap="none" w:vAnchor="page" w:hAnchor="margin" w:x="6856" w:y="4385"/>
        <w:rPr>
          <w:rStyle w:val="C22"/>
          <w:rtl w:val="0"/>
        </w:rPr>
      </w:pPr>
      <w:r>
        <w:rPr>
          <w:rStyle w:val="C22"/>
          <w:rtl w:val="0"/>
        </w:rPr>
        <w:t>Ústní ověření</w:t>
      </w:r>
    </w:p>
    <w:p>
      <w:pPr>
        <w:pStyle w:val="P12"/>
        <w:framePr w:w="6710" w:h="376" w:hRule="exact" w:wrap="none" w:vAnchor="page" w:hAnchor="margin" w:x="45" w:y="5609"/>
        <w:rPr>
          <w:rStyle w:val="C3"/>
          <w:rtl w:val="0"/>
        </w:rPr>
      </w:pPr>
    </w:p>
    <w:p>
      <w:pPr>
        <w:pStyle w:val="P13"/>
        <w:framePr w:w="6658" w:h="249" w:hRule="exact" w:wrap="none" w:vAnchor="page" w:hAnchor="margin" w:x="71" w:y="5665"/>
        <w:rPr>
          <w:rStyle w:val="C11"/>
          <w:rtl w:val="0"/>
        </w:rPr>
      </w:pPr>
      <w:r>
        <w:rPr>
          <w:rStyle w:val="C11"/>
          <w:rtl w:val="0"/>
        </w:rPr>
        <w:t>e) Definovat trvalou a občasnou obsluhu kotle dle vyhlášky č. 91/1993 Sb.</w:t>
      </w:r>
    </w:p>
    <w:p>
      <w:pPr>
        <w:pStyle w:val="P28"/>
        <w:framePr w:w="3921" w:h="376" w:hRule="exact" w:wrap="none" w:vAnchor="page" w:hAnchor="margin" w:x="6800" w:y="5609"/>
        <w:rPr>
          <w:rStyle w:val="C3"/>
          <w:rtl w:val="0"/>
        </w:rPr>
      </w:pPr>
    </w:p>
    <w:p>
      <w:pPr>
        <w:pStyle w:val="P29"/>
        <w:framePr w:w="3839" w:h="249" w:hRule="exact" w:wrap="none" w:vAnchor="page" w:hAnchor="margin" w:x="6856" w:y="5665"/>
        <w:rPr>
          <w:rStyle w:val="C21"/>
          <w:rtl w:val="0"/>
        </w:rPr>
      </w:pPr>
      <w:r>
        <w:rPr>
          <w:rStyle w:val="C21"/>
          <w:rtl w:val="0"/>
        </w:rPr>
        <w:t>Ústní ověření</w:t>
      </w:r>
    </w:p>
    <w:p>
      <w:pPr>
        <w:pStyle w:val="P16"/>
        <w:framePr w:w="6710" w:h="607" w:hRule="exact" w:wrap="none" w:vAnchor="page" w:hAnchor="margin" w:x="45" w:y="5985"/>
        <w:rPr>
          <w:rStyle w:val="C3"/>
          <w:rtl w:val="0"/>
        </w:rPr>
      </w:pPr>
    </w:p>
    <w:p>
      <w:pPr>
        <w:pStyle w:val="P17"/>
        <w:framePr w:w="6658" w:h="480" w:hRule="exact" w:wrap="none" w:vAnchor="page" w:hAnchor="margin" w:x="71" w:y="6041"/>
        <w:rPr>
          <w:rStyle w:val="C13"/>
          <w:rtl w:val="0"/>
        </w:rPr>
      </w:pPr>
      <w:r>
        <w:rPr>
          <w:rStyle w:val="C13"/>
          <w:rtl w:val="0"/>
        </w:rPr>
        <w:t>f) Uvést požadavky a ukázat na příkladu svítidlo, které musí mít pracovníci obsluhy dle vyhlášky č. 91/1993 Sb. k dispozici</w:t>
      </w:r>
    </w:p>
    <w:p>
      <w:pPr>
        <w:pStyle w:val="P30"/>
        <w:framePr w:w="3921" w:h="607" w:hRule="exact" w:wrap="none" w:vAnchor="page" w:hAnchor="margin" w:x="6800" w:y="5985"/>
        <w:rPr>
          <w:rStyle w:val="C3"/>
          <w:rtl w:val="0"/>
        </w:rPr>
      </w:pPr>
    </w:p>
    <w:p>
      <w:pPr>
        <w:pStyle w:val="P31"/>
        <w:framePr w:w="3839" w:h="480" w:hRule="exact" w:wrap="none" w:vAnchor="page" w:hAnchor="margin" w:x="6856" w:y="604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Vyjmenovat povinnosti topiče dle vyhlášky č. 91/1993 Sb.</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h) Uvést název základního provozního předpisu, který dle vyhlášky č. 91/1993 Sb. zpracuje a vydá provozovatel kotelny</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Uvést hodnotu bodu varu vody za normálních podmínek ve stupních C a její závislost na tlaku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Uvést převodní koeficient mezi jednotkami tlaku Pa a bar</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Vedení provozních záznamů kotelen, výměníkových stanic apod.</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Provést zápis o průběhu směny do provozního deníku kotelny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Praktické předvedení</w:t>
      </w:r>
    </w:p>
    <w:p>
      <w:pPr>
        <w:pStyle w:val="P12"/>
        <w:framePr w:w="6710" w:h="831" w:hRule="exact" w:wrap="none" w:vAnchor="page" w:hAnchor="margin" w:x="45" w:y="10905"/>
        <w:rPr>
          <w:rStyle w:val="C3"/>
          <w:rtl w:val="0"/>
        </w:rPr>
      </w:pPr>
    </w:p>
    <w:p>
      <w:pPr>
        <w:pStyle w:val="P13"/>
        <w:framePr w:w="6658" w:h="704" w:hRule="exact" w:wrap="none" w:vAnchor="page" w:hAnchor="margin" w:x="71" w:y="10961"/>
        <w:rPr>
          <w:rStyle w:val="C11"/>
          <w:rtl w:val="0"/>
        </w:rPr>
      </w:pPr>
      <w:r>
        <w:rPr>
          <w:rStyle w:val="C11"/>
          <w:rtl w:val="0"/>
        </w:rPr>
        <w:t>c) Provést zápis o</w:t>
        <w:br w:type="textWrapping"/>
        <w:t>-</w:t>
        <w:tab/>
        <w:t>výsledku kontroly ovzduší v kotelně</w:t>
        <w:br w:type="textWrapping"/>
        <w:t>-</w:t>
        <w:tab/>
        <w:t>provedeném zjišťování netěsností dle ČSN 38 6405</w:t>
      </w:r>
    </w:p>
    <w:p>
      <w:pPr>
        <w:pStyle w:val="P28"/>
        <w:framePr w:w="3921" w:h="831" w:hRule="exact" w:wrap="none" w:vAnchor="page" w:hAnchor="margin" w:x="6800" w:y="10905"/>
        <w:rPr>
          <w:rStyle w:val="C3"/>
          <w:rtl w:val="0"/>
        </w:rPr>
      </w:pPr>
    </w:p>
    <w:p>
      <w:pPr>
        <w:pStyle w:val="P29"/>
        <w:framePr w:w="3839" w:h="704"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Písemně s ústním zdůvodněním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parních kotlů, 1.5.2026 14:36:03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výměníkových nebo redukčních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pojistný ventil a tlakoměr ohříváku teplé vody dle ČSN 06 0830</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ukázat rozdíly mezi armaturami umístěnými dle ČSN 06 0830 na přívodu studené vody každého samostatně uzavíratelného ohřívače teplé vody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normovou hodnotu dle ČSN 06 0320, na kterou je třeba v bezpodmínečně nutných případech na přechodnou dobu zvýšit teplotu vody u zásobníkových ohřevů, aby se zamezila tvorba bakterií (např. Legionelly pneumophily)</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Písemně s ústním zdůvodněním</w:t>
      </w:r>
    </w:p>
    <w:p>
      <w:pPr>
        <w:pStyle w:val="P16"/>
        <w:framePr w:w="6710" w:h="1728" w:hRule="exact" w:wrap="none" w:vAnchor="page" w:hAnchor="margin" w:x="45" w:y="5463"/>
        <w:rPr>
          <w:rStyle w:val="C3"/>
          <w:rtl w:val="0"/>
        </w:rPr>
      </w:pPr>
    </w:p>
    <w:p>
      <w:pPr>
        <w:pStyle w:val="P17"/>
        <w:framePr w:w="6658" w:h="1601" w:hRule="exact" w:wrap="none" w:vAnchor="page" w:hAnchor="margin" w:x="71" w:y="5519"/>
        <w:rPr>
          <w:rStyle w:val="C13"/>
          <w:rtl w:val="0"/>
        </w:rPr>
      </w:pPr>
      <w:r>
        <w:rPr>
          <w:rStyle w:val="C13"/>
          <w:rtl w:val="0"/>
        </w:rPr>
        <w:t>d) Definovat</w:t>
        <w:br w:type="textWrapping"/>
        <w:t>-</w:t>
        <w:tab/>
        <w:t>spotřebič tepla</w:t>
        <w:br w:type="textWrapping"/>
        <w:t>-</w:t>
        <w:tab/>
        <w:t>tlakovou ztrátu</w:t>
        <w:br w:type="textWrapping"/>
        <w:t>-</w:t>
        <w:tab/>
        <w:t>vztlak</w:t>
        <w:br w:type="textWrapping"/>
        <w:t>-</w:t>
        <w:tab/>
        <w:t>parametry páry</w:t>
        <w:br w:type="textWrapping"/>
        <w:t>-</w:t>
        <w:tab/>
        <w:t>parametry kondenzátu</w:t>
        <w:br w:type="textWrapping"/>
        <w:t>dle ČSN 06 0310</w:t>
      </w:r>
    </w:p>
    <w:p>
      <w:pPr>
        <w:pStyle w:val="P30"/>
        <w:framePr w:w="3921" w:h="1728" w:hRule="exact" w:wrap="none" w:vAnchor="page" w:hAnchor="margin" w:x="6800" w:y="5463"/>
        <w:rPr>
          <w:rStyle w:val="C3"/>
          <w:rtl w:val="0"/>
        </w:rPr>
      </w:pPr>
    </w:p>
    <w:p>
      <w:pPr>
        <w:pStyle w:val="P31"/>
        <w:framePr w:w="3839" w:h="1601" w:hRule="exact" w:wrap="none" w:vAnchor="page" w:hAnchor="margin" w:x="6856" w:y="5519"/>
        <w:rPr>
          <w:rStyle w:val="C22"/>
          <w:rtl w:val="0"/>
        </w:rPr>
      </w:pPr>
      <w:r>
        <w:rPr>
          <w:rStyle w:val="C22"/>
          <w:rtl w:val="0"/>
        </w:rPr>
        <w:t>Písemně s ústním zdůvodněním</w:t>
      </w:r>
    </w:p>
    <w:p>
      <w:pPr>
        <w:pStyle w:val="P12"/>
        <w:framePr w:w="6710" w:h="1280" w:hRule="exact" w:wrap="none" w:vAnchor="page" w:hAnchor="margin" w:x="45" w:y="7191"/>
        <w:rPr>
          <w:rStyle w:val="C3"/>
          <w:rtl w:val="0"/>
        </w:rPr>
      </w:pPr>
    </w:p>
    <w:p>
      <w:pPr>
        <w:pStyle w:val="P13"/>
        <w:framePr w:w="6658" w:h="1153" w:hRule="exact" w:wrap="none" w:vAnchor="page" w:hAnchor="margin" w:x="71" w:y="7247"/>
        <w:rPr>
          <w:rStyle w:val="C11"/>
          <w:rtl w:val="0"/>
        </w:rPr>
      </w:pPr>
      <w:r>
        <w:rPr>
          <w:rStyle w:val="C11"/>
          <w:rtl w:val="0"/>
        </w:rPr>
        <w:t>e) Specifikovat dle ČSN 06 0310</w:t>
        <w:br w:type="textWrapping"/>
        <w:t>-</w:t>
        <w:tab/>
        <w:t>provozní stavy zdroje tepla nebo úpravny parametrů, při kterých jejich zabezpečovací zařízení signalizuje poruchu a odstaví zařízení z provozu</w:t>
        <w:br w:type="textWrapping"/>
        <w:t>-</w:t>
        <w:tab/>
        <w:t>místo, kam musí být zavedena poruchová signalizace</w:t>
      </w:r>
    </w:p>
    <w:p>
      <w:pPr>
        <w:pStyle w:val="P28"/>
        <w:framePr w:w="3921" w:h="1280" w:hRule="exact" w:wrap="none" w:vAnchor="page" w:hAnchor="margin" w:x="6800" w:y="7191"/>
        <w:rPr>
          <w:rStyle w:val="C3"/>
          <w:rtl w:val="0"/>
        </w:rPr>
      </w:pPr>
    </w:p>
    <w:p>
      <w:pPr>
        <w:pStyle w:val="P29"/>
        <w:framePr w:w="3839" w:h="1153" w:hRule="exact" w:wrap="none" w:vAnchor="page" w:hAnchor="margin" w:x="6856" w:y="7247"/>
        <w:rPr>
          <w:rStyle w:val="C21"/>
          <w:rtl w:val="0"/>
        </w:rPr>
      </w:pPr>
      <w:r>
        <w:rPr>
          <w:rStyle w:val="C21"/>
          <w:rtl w:val="0"/>
        </w:rPr>
        <w:t>Písemně s ústním zdůvodněním</w:t>
      </w:r>
    </w:p>
    <w:p>
      <w:pPr>
        <w:pStyle w:val="P32"/>
        <w:framePr w:w="10710" w:h="248" w:hRule="exact" w:wrap="none" w:vAnchor="page" w:hAnchor="margin" w:x="28" w:y="8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parních kotlů, 1.5.2026 14:36:03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nízkotlakého parního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 nízkotlakých parních kotlů, 1.5.2026 14:36:03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Topič nízkotlakých parních kotlů, 1.5.2026 14:36:03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parní kotel s plynovým otopem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Protiproudý výměník tepla jako zdroj pro teplovodní systém vytápění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teplé vody nepřímo topený parou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kotelny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 Voda a pára pro tepelná energetická zařízení s pracovním tlakem páry do 8 MPa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0320 - Tepelné soustavy v budovách - Příprava teplé vody - Navrhování a projektování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0711 - Provoz zařízení na úpravu vody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91/1993 Sb. k zajištění bezpečnosti práce v nízkotlakých kotelnách</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80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 nízkotlakých parních kotlů, 1.5.2026 14:36:03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 nízkotlakých parních kotlů, 1.5.2026 14:36:03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6480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8501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