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9F67B9" Type="http://schemas.openxmlformats.org/officeDocument/2006/relationships/officeDocument" Target="/word/document.xml" /><Relationship Id="coreR259F67B9" Type="http://schemas.openxmlformats.org/package/2006/relationships/metadata/core-properties" Target="/docProps/core.xml" /><Relationship Id="customR259F67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horkovodních energetických zařízení (kód: 26-060-M)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horkovodních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pojmech, údajích a technických parametrech horkovodních kotlů s tepelným výkonem nad 35 MW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činnosti horkovodních kotlů s tepelným výkonem nad 35 MW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na přípravu uhelného prášku v technologických systémech kotelen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10.04.2018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horkovodních energetických zařízení, 3.11.2026 17:25:36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topičského průkazu opravňujícího k samostatné obsluze kotlů 2. nebo 1. třídy.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horkovodního kotle s plynovým otopem, kde uchazeč předvede své praktické dovednosti splněním předepsaných kritérií.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horkovodních energetických zařízení, 3.11.2026 17:25:36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horkovodních energetických zařízení, 3.11.2026 17:25:36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