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A9F1E0" Type="http://schemas.openxmlformats.org/officeDocument/2006/relationships/officeDocument" Target="/word/document.xml" /><Relationship Id="coreR5BA9F1E0" Type="http://schemas.openxmlformats.org/package/2006/relationships/metadata/core-properties" Target="/docProps/core.xml" /><Relationship Id="customR5BA9F1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horkovodních energetických zařízení (kód: 26-060-M)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horkovodních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pojmech, údajích a technických parametrech horkovodních kotlů s tepelným výkonem nad 35 MW</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činnosti horkovodních kotlů s tepelným výkonem nad 35 MW</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stanice kontinuálního změkčování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na přípravu uhelného prášku v technologických systémech kotelen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10.04.2018 do: 27.10.2022</w:t>
      </w:r>
    </w:p>
    <w:p>
      <w:pPr>
        <w:pStyle w:val="P21"/>
        <w:framePr w:w="7654" w:h="331" w:hRule="exact" w:wrap="none" w:vAnchor="page" w:hAnchor="margin" w:x="28" w:y="15940"/>
        <w:rPr>
          <w:rStyle w:val="C16"/>
          <w:rtl w:val="0"/>
        </w:rPr>
      </w:pPr>
      <w:r>
        <w:rPr>
          <w:rStyle w:val="C16"/>
          <w:rtl w:val="0"/>
        </w:rPr>
        <w:t>Operátor horkovodních energetických zařízení, 29.4.2026 0:25:04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pojmech, údajích a technických parametrech horkovodních kotlů s tepelným výkonem nad 35 MW</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Specifikovat vlastnosti zemního plynu (chemické složení, hutnost)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 s ústním zdůvodněním</w:t>
      </w:r>
    </w:p>
    <w:p>
      <w:pPr>
        <w:pStyle w:val="P16"/>
        <w:framePr w:w="6710" w:h="831" w:hRule="exact" w:wrap="none" w:vAnchor="page" w:hAnchor="margin" w:x="45" w:y="4111"/>
        <w:rPr>
          <w:rStyle w:val="C3"/>
          <w:rtl w:val="0"/>
        </w:rPr>
      </w:pPr>
    </w:p>
    <w:p>
      <w:pPr>
        <w:pStyle w:val="P17"/>
        <w:framePr w:w="6658" w:h="704" w:hRule="exact" w:wrap="none" w:vAnchor="page" w:hAnchor="margin" w:x="71" w:y="4167"/>
        <w:rPr>
          <w:rStyle w:val="C13"/>
          <w:rtl w:val="0"/>
        </w:rPr>
      </w:pPr>
      <w:r>
        <w:rPr>
          <w:rStyle w:val="C13"/>
          <w:rtl w:val="0"/>
        </w:rPr>
        <w:t>b) Specifikovat dle čl. 2.10.3 ČSN 07 0706 rozsah prověření funkce odběrních, měřicích a regulačních zařízení při přejímce systému plynného paliva</w:t>
      </w:r>
    </w:p>
    <w:p>
      <w:pPr>
        <w:pStyle w:val="P30"/>
        <w:framePr w:w="3921" w:h="831" w:hRule="exact" w:wrap="none" w:vAnchor="page" w:hAnchor="margin" w:x="6800" w:y="4111"/>
        <w:rPr>
          <w:rStyle w:val="C3"/>
          <w:rtl w:val="0"/>
        </w:rPr>
      </w:pPr>
    </w:p>
    <w:p>
      <w:pPr>
        <w:pStyle w:val="P31"/>
        <w:framePr w:w="3839" w:h="704" w:hRule="exact" w:wrap="none" w:vAnchor="page" w:hAnchor="margin" w:x="6856" w:y="4167"/>
        <w:rPr>
          <w:rStyle w:val="C22"/>
          <w:rtl w:val="0"/>
        </w:rPr>
      </w:pPr>
      <w:r>
        <w:rPr>
          <w:rStyle w:val="C22"/>
          <w:rtl w:val="0"/>
        </w:rPr>
        <w:t>Písemné ověření s ústním zdůvodněním</w:t>
      </w:r>
    </w:p>
    <w:p>
      <w:pPr>
        <w:pStyle w:val="P12"/>
        <w:framePr w:w="6710" w:h="1280" w:hRule="exact" w:wrap="none" w:vAnchor="page" w:hAnchor="margin" w:x="45" w:y="4942"/>
        <w:rPr>
          <w:rStyle w:val="C3"/>
          <w:rtl w:val="0"/>
        </w:rPr>
      </w:pPr>
    </w:p>
    <w:p>
      <w:pPr>
        <w:pStyle w:val="P13"/>
        <w:framePr w:w="6658" w:h="1153" w:hRule="exact" w:wrap="none" w:vAnchor="page" w:hAnchor="margin" w:x="71" w:y="4998"/>
        <w:rPr>
          <w:rStyle w:val="C11"/>
          <w:rtl w:val="0"/>
        </w:rPr>
      </w:pPr>
      <w:r>
        <w:rPr>
          <w:rStyle w:val="C11"/>
          <w:rtl w:val="0"/>
        </w:rPr>
        <w:t>c) Specifikovat hodnoty (pro zemní plyn)</w:t>
        <w:br w:type="textWrapping"/>
        <w:t>-</w:t>
        <w:tab/>
        <w:t>spalné teplo</w:t>
        <w:br w:type="textWrapping"/>
        <w:t>-</w:t>
        <w:tab/>
        <w:t>zápalnou teplotu</w:t>
        <w:br w:type="textWrapping"/>
        <w:t>-</w:t>
        <w:tab/>
        <w:t>horní a dolní mez výbušnosti</w:t>
        <w:br w:type="textWrapping"/>
        <w:t>-</w:t>
        <w:tab/>
        <w:t>rosný bod spalin</w:t>
      </w:r>
    </w:p>
    <w:p>
      <w:pPr>
        <w:pStyle w:val="P28"/>
        <w:framePr w:w="3921" w:h="1280" w:hRule="exact" w:wrap="none" w:vAnchor="page" w:hAnchor="margin" w:x="6800" w:y="4942"/>
        <w:rPr>
          <w:rStyle w:val="C3"/>
          <w:rtl w:val="0"/>
        </w:rPr>
      </w:pPr>
    </w:p>
    <w:p>
      <w:pPr>
        <w:pStyle w:val="P29"/>
        <w:framePr w:w="3839" w:h="1153" w:hRule="exact" w:wrap="none" w:vAnchor="page" w:hAnchor="margin" w:x="6856" w:y="4998"/>
        <w:rPr>
          <w:rStyle w:val="C21"/>
          <w:rtl w:val="0"/>
        </w:rPr>
      </w:pPr>
      <w:r>
        <w:rPr>
          <w:rStyle w:val="C21"/>
          <w:rtl w:val="0"/>
        </w:rPr>
        <w:t>Písemné ověření s ústním zdůvodněním</w:t>
      </w:r>
    </w:p>
    <w:p>
      <w:pPr>
        <w:pStyle w:val="P16"/>
        <w:framePr w:w="6710" w:h="831" w:hRule="exact" w:wrap="none" w:vAnchor="page" w:hAnchor="margin" w:x="45" w:y="6221"/>
        <w:rPr>
          <w:rStyle w:val="C3"/>
          <w:rtl w:val="0"/>
        </w:rPr>
      </w:pPr>
    </w:p>
    <w:p>
      <w:pPr>
        <w:pStyle w:val="P17"/>
        <w:framePr w:w="6658" w:h="704" w:hRule="exact" w:wrap="none" w:vAnchor="page" w:hAnchor="margin" w:x="71" w:y="6277"/>
        <w:rPr>
          <w:rStyle w:val="C13"/>
          <w:rtl w:val="0"/>
        </w:rPr>
      </w:pPr>
      <w:r>
        <w:rPr>
          <w:rStyle w:val="C13"/>
          <w:rtl w:val="0"/>
        </w:rPr>
        <w:t>d) Uvést dle ČSN 65 7991 normovou hodnotu pro</w:t>
        <w:br w:type="textWrapping"/>
        <w:t>-</w:t>
        <w:tab/>
        <w:t>bod vzplanutí lehkého topného oleje (TOL)</w:t>
        <w:br w:type="textWrapping"/>
        <w:t>-</w:t>
        <w:tab/>
        <w:t>bod vzplanutí těžkého topného oleje (TOT R2)</w:t>
      </w:r>
    </w:p>
    <w:p>
      <w:pPr>
        <w:pStyle w:val="P30"/>
        <w:framePr w:w="3921" w:h="831" w:hRule="exact" w:wrap="none" w:vAnchor="page" w:hAnchor="margin" w:x="6800" w:y="6221"/>
        <w:rPr>
          <w:rStyle w:val="C3"/>
          <w:rtl w:val="0"/>
        </w:rPr>
      </w:pPr>
    </w:p>
    <w:p>
      <w:pPr>
        <w:pStyle w:val="P31"/>
        <w:framePr w:w="3839" w:h="704" w:hRule="exact" w:wrap="none" w:vAnchor="page" w:hAnchor="margin" w:x="6856" w:y="6277"/>
        <w:rPr>
          <w:rStyle w:val="C22"/>
          <w:rtl w:val="0"/>
        </w:rPr>
      </w:pPr>
      <w:r>
        <w:rPr>
          <w:rStyle w:val="C22"/>
          <w:rtl w:val="0"/>
        </w:rPr>
        <w:t>Písemné ověření s ústním zdůvodněním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Specifikovat převodní vztah mezi jednotkami tlaku (MPa a bar)</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f) Specifikovat hodnotu bodu varu vody ve stupních C při normálním tlaku a vysvětlit jeho závislost na tlaku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 s ústním zdůvodněním</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g) Definovat dle ČSN ISO 80000-4 jednotku tlaku Pa pomocí jednotek síly a plochy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Písemné ověření s ústním zdůvodněním</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h) Uvést výšku sloupce vody, který působí na dno nádoby hydrostatickým tlakem 1 Pa</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Písemné ověření s ústním zdůvodněním</w:t>
      </w:r>
    </w:p>
    <w:p>
      <w:pPr>
        <w:pStyle w:val="P12"/>
        <w:framePr w:w="6710" w:h="1280" w:hRule="exact" w:wrap="none" w:vAnchor="page" w:hAnchor="margin" w:x="45" w:y="9249"/>
        <w:rPr>
          <w:rStyle w:val="C3"/>
          <w:rtl w:val="0"/>
        </w:rPr>
      </w:pPr>
    </w:p>
    <w:p>
      <w:pPr>
        <w:pStyle w:val="P13"/>
        <w:framePr w:w="6658" w:h="1153" w:hRule="exact" w:wrap="none" w:vAnchor="page" w:hAnchor="margin" w:x="71" w:y="9305"/>
        <w:rPr>
          <w:rStyle w:val="C11"/>
          <w:rtl w:val="0"/>
        </w:rPr>
      </w:pPr>
      <w:r>
        <w:rPr>
          <w:rStyle w:val="C11"/>
          <w:rtl w:val="0"/>
        </w:rPr>
        <w:t xml:space="preserve">i) Vysvětlit dle ČSN 07 0703 pojmy </w:t>
        <w:br w:type="textWrapping"/>
        <w:t>-</w:t>
        <w:tab/>
        <w:t>hlavní uzávěr kotelny</w:t>
        <w:br w:type="textWrapping"/>
        <w:t>-</w:t>
        <w:tab/>
        <w:t>hlavní uzávěr kotle</w:t>
        <w:br w:type="textWrapping"/>
        <w:t>-</w:t>
        <w:tab/>
        <w:t>větrání kotelny</w:t>
        <w:br w:type="textWrapping"/>
        <w:t>-</w:t>
        <w:tab/>
        <w:t>havarijní větrání kotelny</w:t>
      </w:r>
    </w:p>
    <w:p>
      <w:pPr>
        <w:pStyle w:val="P28"/>
        <w:framePr w:w="3921" w:h="1280" w:hRule="exact" w:wrap="none" w:vAnchor="page" w:hAnchor="margin" w:x="6800" w:y="9249"/>
        <w:rPr>
          <w:rStyle w:val="C3"/>
          <w:rtl w:val="0"/>
        </w:rPr>
      </w:pPr>
    </w:p>
    <w:p>
      <w:pPr>
        <w:pStyle w:val="P29"/>
        <w:framePr w:w="3839" w:h="1153" w:hRule="exact" w:wrap="none" w:vAnchor="page" w:hAnchor="margin" w:x="6856" w:y="9305"/>
        <w:rPr>
          <w:rStyle w:val="C21"/>
          <w:rtl w:val="0"/>
        </w:rPr>
      </w:pPr>
      <w:r>
        <w:rPr>
          <w:rStyle w:val="C21"/>
          <w:rtl w:val="0"/>
        </w:rPr>
        <w:t>Písemné ověření s ústním zdůvodněním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j) Vysvětlit rozdíl mezi absolutním tlakem a přetlakem</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Písemné ověření s ústním zdůvodněním</w:t>
      </w:r>
    </w:p>
    <w:p>
      <w:pPr>
        <w:pStyle w:val="P32"/>
        <w:framePr w:w="10710" w:h="248" w:hRule="exact" w:wrap="none" w:vAnchor="page" w:hAnchor="margin" w:x="28" w:y="110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horkovodních energetických zařízení, 29.4.2026 0:25:04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činnosti horkovodních kotlů s tepelným výkonem nad 35 MW</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Specifikovat dle ČSN 07 0703 provozní situace, které jsou důvodem pro okamžité odstavení kotlů z provozu a které musí řešit provozní řád jako mimořádné provozní podmínky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zdůvodněním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Specifikovat dle ČSN 38 6405 minimální časový interval</w:t>
        <w:br w:type="textWrapping"/>
        <w:t>-</w:t>
        <w:tab/>
        <w:t>kontroly úniku spalin ze spotřebičů nebo odtahů</w:t>
        <w:br w:type="textWrapping"/>
        <w:t>-</w:t>
        <w:tab/>
        <w:t>provést kontrolu těsnosti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a ukázat způsoby zjišťování netěsností dle ČSN 38 6405</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1055" w:hRule="exact" w:wrap="none" w:vAnchor="page" w:hAnchor="margin" w:x="45" w:y="5008"/>
        <w:rPr>
          <w:rStyle w:val="C3"/>
          <w:rtl w:val="0"/>
        </w:rPr>
      </w:pPr>
    </w:p>
    <w:p>
      <w:pPr>
        <w:pStyle w:val="P17"/>
        <w:framePr w:w="6658" w:h="928" w:hRule="exact" w:wrap="none" w:vAnchor="page" w:hAnchor="margin" w:x="71" w:y="5064"/>
        <w:rPr>
          <w:rStyle w:val="C13"/>
          <w:rtl w:val="0"/>
        </w:rPr>
      </w:pPr>
      <w:r>
        <w:rPr>
          <w:rStyle w:val="C13"/>
          <w:rtl w:val="0"/>
        </w:rPr>
        <w:t>d) Specifikovat dle ČSN 07 0711</w:t>
        <w:br w:type="textWrapping"/>
        <w:t>-</w:t>
        <w:tab/>
        <w:t>minimální časový interval kontroly plynového zařízení kotlů</w:t>
        <w:br w:type="textWrapping"/>
        <w:t>-</w:t>
        <w:tab/>
        <w:t>minimální časový interval kontroly funkce detektorů a pojistek plamene</w:t>
      </w:r>
    </w:p>
    <w:p>
      <w:pPr>
        <w:pStyle w:val="P30"/>
        <w:framePr w:w="3921" w:h="1055" w:hRule="exact" w:wrap="none" w:vAnchor="page" w:hAnchor="margin" w:x="6800" w:y="5008"/>
        <w:rPr>
          <w:rStyle w:val="C3"/>
          <w:rtl w:val="0"/>
        </w:rPr>
      </w:pPr>
    </w:p>
    <w:p>
      <w:pPr>
        <w:pStyle w:val="P31"/>
        <w:framePr w:w="3839" w:h="928" w:hRule="exact" w:wrap="none" w:vAnchor="page" w:hAnchor="margin" w:x="6856" w:y="5064"/>
        <w:rPr>
          <w:rStyle w:val="C22"/>
          <w:rtl w:val="0"/>
        </w:rPr>
      </w:pPr>
      <w:r>
        <w:rPr>
          <w:rStyle w:val="C22"/>
          <w:rtl w:val="0"/>
        </w:rPr>
        <w:t>Písemné ověření s ústním zdůvodněním</w:t>
      </w:r>
    </w:p>
    <w:p>
      <w:pPr>
        <w:pStyle w:val="P12"/>
        <w:framePr w:w="6710" w:h="831" w:hRule="exact" w:wrap="none" w:vAnchor="page" w:hAnchor="margin" w:x="45" w:y="6063"/>
        <w:rPr>
          <w:rStyle w:val="C3"/>
          <w:rtl w:val="0"/>
        </w:rPr>
      </w:pPr>
    </w:p>
    <w:p>
      <w:pPr>
        <w:pStyle w:val="P13"/>
        <w:framePr w:w="6658" w:h="704" w:hRule="exact" w:wrap="none" w:vAnchor="page" w:hAnchor="margin" w:x="71" w:y="6119"/>
        <w:rPr>
          <w:rStyle w:val="C11"/>
          <w:rtl w:val="0"/>
        </w:rPr>
      </w:pPr>
      <w:r>
        <w:rPr>
          <w:rStyle w:val="C11"/>
          <w:rtl w:val="0"/>
        </w:rPr>
        <w:t>e) Specifikovat dle čl. 2.10.3 ČSN 07 0706 rozsah prověření funkce odběrních, měřicích a regulačních zařízení při přejímce systému plynného paliva</w:t>
      </w:r>
    </w:p>
    <w:p>
      <w:pPr>
        <w:pStyle w:val="P28"/>
        <w:framePr w:w="3921" w:h="831" w:hRule="exact" w:wrap="none" w:vAnchor="page" w:hAnchor="margin" w:x="6800" w:y="6063"/>
        <w:rPr>
          <w:rStyle w:val="C3"/>
          <w:rtl w:val="0"/>
        </w:rPr>
      </w:pPr>
    </w:p>
    <w:p>
      <w:pPr>
        <w:pStyle w:val="P29"/>
        <w:framePr w:w="3839" w:h="704" w:hRule="exact" w:wrap="none" w:vAnchor="page" w:hAnchor="margin" w:x="6856" w:y="6119"/>
        <w:rPr>
          <w:rStyle w:val="C21"/>
          <w:rtl w:val="0"/>
        </w:rPr>
      </w:pPr>
      <w:r>
        <w:rPr>
          <w:rStyle w:val="C21"/>
          <w:rtl w:val="0"/>
        </w:rPr>
        <w:t>Písemné ověření s ústním zdůvodněním</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Specifikovat dle čl. 2.9.2 ČSN 07 0706 rozsah prověření funkce hořáků při přejímce systému kapalného paliva</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Písemné ověření s ústním zdůvodněním</w:t>
      </w:r>
    </w:p>
    <w:p>
      <w:pPr>
        <w:pStyle w:val="P12"/>
        <w:framePr w:w="6710" w:h="831" w:hRule="exact" w:wrap="none" w:vAnchor="page" w:hAnchor="margin" w:x="45" w:y="7501"/>
        <w:rPr>
          <w:rStyle w:val="C3"/>
          <w:rtl w:val="0"/>
        </w:rPr>
      </w:pPr>
    </w:p>
    <w:p>
      <w:pPr>
        <w:pStyle w:val="P13"/>
        <w:framePr w:w="6658" w:h="704" w:hRule="exact" w:wrap="none" w:vAnchor="page" w:hAnchor="margin" w:x="71" w:y="7557"/>
        <w:rPr>
          <w:rStyle w:val="C11"/>
          <w:rtl w:val="0"/>
        </w:rPr>
      </w:pPr>
      <w:r>
        <w:rPr>
          <w:rStyle w:val="C11"/>
          <w:rtl w:val="0"/>
        </w:rPr>
        <w:t>g) Uvést dle ČSN 44 1315 normovou hodnotu pro maximální dovolenou výšku hromady hnědého uhlí tříděného a praného, provést kontrolu v provozních podmínkách</w:t>
      </w:r>
    </w:p>
    <w:p>
      <w:pPr>
        <w:pStyle w:val="P28"/>
        <w:framePr w:w="3921" w:h="831" w:hRule="exact" w:wrap="none" w:vAnchor="page" w:hAnchor="margin" w:x="6800" w:y="7501"/>
        <w:rPr>
          <w:rStyle w:val="C3"/>
          <w:rtl w:val="0"/>
        </w:rPr>
      </w:pPr>
    </w:p>
    <w:p>
      <w:pPr>
        <w:pStyle w:val="P29"/>
        <w:framePr w:w="3839" w:h="704" w:hRule="exact" w:wrap="none" w:vAnchor="page" w:hAnchor="margin" w:x="6856" w:y="7557"/>
        <w:rPr>
          <w:rStyle w:val="C21"/>
          <w:rtl w:val="0"/>
        </w:rPr>
      </w:pPr>
      <w:r>
        <w:rPr>
          <w:rStyle w:val="C21"/>
          <w:rtl w:val="0"/>
        </w:rPr>
        <w:t>Praktické předvedení a 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h) Definovat horkovodní kotel se zaplavenými bubny dle ČSN 07 0000</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Písemné ověření s ústním zdůvodněním</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i) Definovat horkovodní kotel s kombinovaným oběhem dle ČSN 07 0000</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Písemné ověření s ústním zdůvodněním</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j) Definovat horkovodní kotel ve špičkovém zapojení dle ČSN 07 0000</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Písemné ověření s ústním zdůvodněním</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Obsluha stanice kontinuálního změkčování vody</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607" w:hRule="exact" w:wrap="none" w:vAnchor="page" w:hAnchor="margin" w:x="45" w:y="10826"/>
        <w:rPr>
          <w:rStyle w:val="C3"/>
          <w:rtl w:val="0"/>
        </w:rPr>
      </w:pPr>
    </w:p>
    <w:p>
      <w:pPr>
        <w:pStyle w:val="P13"/>
        <w:framePr w:w="6658" w:h="480" w:hRule="exact" w:wrap="none" w:vAnchor="page" w:hAnchor="margin" w:x="71" w:y="10882"/>
        <w:rPr>
          <w:rStyle w:val="C11"/>
          <w:rtl w:val="0"/>
        </w:rPr>
      </w:pPr>
      <w:r>
        <w:rPr>
          <w:rStyle w:val="C11"/>
          <w:rtl w:val="0"/>
        </w:rPr>
        <w:t>a) Provést regeneraci pískového filtru</w:t>
      </w:r>
    </w:p>
    <w:p>
      <w:pPr>
        <w:pStyle w:val="P28"/>
        <w:framePr w:w="3921" w:h="607" w:hRule="exact" w:wrap="none" w:vAnchor="page" w:hAnchor="margin" w:x="6800" w:y="10826"/>
        <w:rPr>
          <w:rStyle w:val="C3"/>
          <w:rtl w:val="0"/>
        </w:rPr>
      </w:pPr>
    </w:p>
    <w:p>
      <w:pPr>
        <w:pStyle w:val="P29"/>
        <w:framePr w:w="3839" w:h="480" w:hRule="exact" w:wrap="none" w:vAnchor="page" w:hAnchor="margin" w:x="6856" w:y="10882"/>
        <w:rPr>
          <w:rStyle w:val="C21"/>
          <w:rtl w:val="0"/>
        </w:rPr>
      </w:pPr>
      <w:r>
        <w:rPr>
          <w:rStyle w:val="C21"/>
          <w:rtl w:val="0"/>
        </w:rPr>
        <w:t>Praktické předvedení s ústním zdůvodněním</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Provést regeneraci iontového filtru</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Praktické předvedení s ústním zdůvodněním</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Definovat jednotku pH a uvést její hodnotu pro neutrální roztok</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d) Vyjmenovat technické požadavky ČSN 07 0711 pro zajištění spolehlivého a hospodárného provozu zařízení pro úpravu vody</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e) Specifikovat dle ČSN 07 0711 směrodatné hodnoty jakosti kotelní vody pro řízení odluhu horkovodních kotlů do jmenovitého tlaku 2,5 MPa</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Písemné ověření s ústním zdůvodněním</w:t>
      </w:r>
    </w:p>
    <w:p>
      <w:pPr>
        <w:pStyle w:val="P16"/>
        <w:framePr w:w="6710" w:h="1055" w:hRule="exact" w:wrap="none" w:vAnchor="page" w:hAnchor="margin" w:x="45" w:y="13629"/>
        <w:rPr>
          <w:rStyle w:val="C3"/>
          <w:rtl w:val="0"/>
        </w:rPr>
      </w:pPr>
    </w:p>
    <w:p>
      <w:pPr>
        <w:pStyle w:val="P17"/>
        <w:framePr w:w="6658" w:h="928" w:hRule="exact" w:wrap="none" w:vAnchor="page" w:hAnchor="margin" w:x="71" w:y="13685"/>
        <w:rPr>
          <w:rStyle w:val="C13"/>
          <w:rtl w:val="0"/>
        </w:rPr>
      </w:pPr>
      <w:r>
        <w:rPr>
          <w:rStyle w:val="C13"/>
          <w:rtl w:val="0"/>
        </w:rPr>
        <w:t>f) Specifikovat dle ČSN 07 0711 normovou hodnotu časového intervalu pro</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055" w:hRule="exact" w:wrap="none" w:vAnchor="page" w:hAnchor="margin" w:x="6800" w:y="13629"/>
        <w:rPr>
          <w:rStyle w:val="C3"/>
          <w:rtl w:val="0"/>
        </w:rPr>
      </w:pPr>
    </w:p>
    <w:p>
      <w:pPr>
        <w:pStyle w:val="P31"/>
        <w:framePr w:w="3839" w:h="928" w:hRule="exact" w:wrap="none" w:vAnchor="page" w:hAnchor="margin" w:x="6856" w:y="13685"/>
        <w:rPr>
          <w:rStyle w:val="C22"/>
          <w:rtl w:val="0"/>
        </w:rPr>
      </w:pPr>
      <w:r>
        <w:rPr>
          <w:rStyle w:val="C22"/>
          <w:rtl w:val="0"/>
        </w:rPr>
        <w:t>Písemné ověření s ústním zdůvodněním</w:t>
      </w:r>
    </w:p>
    <w:p>
      <w:pPr>
        <w:pStyle w:val="P32"/>
        <w:framePr w:w="10710" w:h="248" w:hRule="exact" w:wrap="none" w:vAnchor="page" w:hAnchor="margin" w:x="28" w:y="147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horkovodních energetických zařízení, 29.4.2026 0:25:04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na přípravu uhelného prášku v technologických systémech kotelen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dle ČSN 07 4010 podmínky, za kterých je možno spouštět zařízení na přípravu uhelného prášku, které bylo více jak 8 hodin odstaveno z provozu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zdůvodněním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Uvést dle ČSN 07 4010 bezpečnostní podmínku, kterou je nutno splnit před spuštěním mlecího zařízení se zásobníkem uhelného prášku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 s ústním zdůvodněním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dle čl. 23 ČSN 07 4010 podmínky, které je nutno plnit k zajištění bezpečného provozu mlecího zařízení na uhelný prášek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 s ústním zdůvodněním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Specifikovat dle čl. 39 ČSN 07 4010 havarijní stavy, při kterých musí být mlecí zařízení na uhelný prášek ihned odstaveno z provozu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 s ústním zdůvodněním</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horkovodních energetických zařízení, 29.4.2026 0:25:04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topičského průkazu opravňujícího k samostatné obsluze kotlů 2. nebo 1. třídy.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horkovodního kotle s plynovým otopem, kde uchazeč předvede své praktické dovednosti splněním předepsaných kritérií.</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103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horkovodních energetických zařízení, 29.4.2026 0:25:04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pozicích v oblasti energetického strojírenství nebo strojírenské výroby, nebo ve funkci učitele praktického vyučování nebo odborného výcviku v oblasti energetických zařízení. Dále musí být nejméně 5 let držitelem osvědčení revizního technika kotlů, nebo osvědčení revizního technika plynových spotřebičů, vydaného dle zákona č. 174/1968 Sb.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nebo ve funkci učitele praktického vyučování nebo odborného výcviku v oblasti energetických zařízení. Dále musí být nejméně 5 let držitelem osvědčení revizního technika kotlů, nebo osvědčení revizního technika plynových spotřebičů, vydaného dle zákona č. 174/1968 Sb.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řídicích pozicích v oblasti energetického strojírenství nebo strojírenské výroby, nebo ve funkci učitele odborných předmětů v oblasti energetických zařízení. Dále musí být nejméně 5 let držitelem osvědčení revizního technika kotlů, nebo osvědčení revizního technika plynových spotřebičů, vydaného dle zákona č. 174/1968 Sb.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Operátor horkovodních energetických zařízení, 29.4.2026 0:25:04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tiskárnou vybavený SW pro psaní, technické výpočty, off line práci s technickými normami a předpisy.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Horkovodní kotel s tepelným výkonem nad 35 MW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platném znění: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0710 - Provoz, obsluha a údržba parních a horkovodních kotlů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07 0711 - Provoz zařízení na úpravu vody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0000 - Názvosloví parních a horkovodních kotlů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80000-4 - Veličiny a jednotky - Část 4: Mechanika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4010 - Provoz, obsluha a údržba zařízení na přípravu uhelného prášku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0706 - Parné a horúcovodné kotly. Pravidlá preberania po montáži</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 horkovodních energetických zařízení, 29.4.2026 0:25:04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Operátor horkovodních energetických zařízení, 29.4.2026 0:25:04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9CFE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10D2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