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1E4687" Type="http://schemas.openxmlformats.org/officeDocument/2006/relationships/officeDocument" Target="/word/document.xml" /><Relationship Id="coreR641E4687" Type="http://schemas.openxmlformats.org/package/2006/relationships/metadata/core-properties" Target="/docProps/core.xml" /><Relationship Id="customR641E46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podvozků motocyklů (kód: 23-141-H)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značení ráfků a pneumatik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rámů, jejich částí, řízení a geometrii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odpružení a tlumení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brzdových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nastavení podvozků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kol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rámů a řízení, oprava a seřízení řízení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a oprava odpružení a tlumení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brzdových systémů motocyklů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podvozků motocyklů, 29.10.2026 0:51:53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 pojmem přední nebo zadní tlumič se rozumí komponent obsahující prvky tlumení i pružení.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nastavení podvozků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až c) úkony jsou prováděny přímo na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kol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kontrola a vycentrování kola je prováděno na povoleném výpletu kola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rámů a řízení, oprava a seřízení řízení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diagnostika rámů se provádí pomocí specializovaného diagnostického přístroje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oprava odpružení a tlumení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f) úkony se provádí demontáží a montáží z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úkonem se rozumí kompletní demontáž a montáž všech součástí zadního tlumiče, včetně jeho plnohodnotného zprovoznění včetně naplnění oleje a plynu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brzdových systémů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úkonem se rozumí demontáž a montáž všech částí a součástí brzdového systému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podvozků motocyklů, 29.10.2026 0:51:53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podvozků motocyklů, 29.10.2026 0:51:53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