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39BAD8" Type="http://schemas.openxmlformats.org/officeDocument/2006/relationships/officeDocument" Target="/word/document.xml" /><Relationship Id="coreR6839BAD8" Type="http://schemas.openxmlformats.org/package/2006/relationships/metadata/core-properties" Target="/docProps/core.xml" /><Relationship Id="customR6839BA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značení ráfků a pneumatik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rámů, jejich částí, řízení a geometrii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odpružení a tlumení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brzdových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nastavení podvozků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kol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rámů a řízení, oprava a seřízení řízení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a oprava odpružení a tlumení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brzdových systémů motocyklů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pojmem přední nebo zadní tlumič se rozumí komponent obsahující prvky tlumení i pružení.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nastavení podvozků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až c) úkony jsou prováděny přímo na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kol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kontrola a vycentrování kola je prováděno na povoleném výpletu kola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rámů a řízení, oprava a seřízení řízení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diagnostika rámů se provádí pomocí specializovaného diagnostického přístroje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oprava odpružení a tlumení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úkony se provádí demontáží a montáží z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úkonem se rozumí kompletní demontáž a montáž všech součástí zadního tlumiče, včetně jeho plnohodnotného zprovoznění včetně naplnění oleje a plynu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brzdových systémů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úkonem se rozumí demontáž a montáž všech částí a součástí brzdového systému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