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BD614A" Type="http://schemas.openxmlformats.org/officeDocument/2006/relationships/officeDocument" Target="/word/document.xml" /><Relationship Id="coreR46BD614A" Type="http://schemas.openxmlformats.org/package/2006/relationships/metadata/core-properties" Target="/docProps/core.xml" /><Relationship Id="customR46BD614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 sedlářské výrobě (kód: 32-043-E)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Brašnář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Základní seřizování, ošetřování a údržba strojů a zařízení používaných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kvality materiálů používaných v sedlářské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jednoduchých pracovních operací při výrobě sedlářských dílců a součástí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Spojování dílců a součástí ručním a strojním šitím v sedlářské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jednoduchých úprav součástí a hotových výrobků v sedlářské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Konečná úprava vzhledu sedlářských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sedlářské výrobě, 27.10.2026 7:48:29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https://www.nsp.cz/jednotka-prace/brasnar#zdravotni-zpusobilost).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v určitém úseku kožedělné výroby.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procesu kožedělné (sedlářské) výroby.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dále ke komplexnímu přístupu k řešení daného úkolu, k celkové kvalitě provedení výrobklu, k používaným pracovním postupům a k samostatnosti při řešení jednotlivých kritérií hodnocení.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sedlářské výrobě, 27.10.2026 7:48:29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Columna, s. r. o.,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sedlářské výrobě, 27.10.2026 7:48:29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