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A288C0" Type="http://schemas.openxmlformats.org/officeDocument/2006/relationships/officeDocument" Target="/word/document.xml" /><Relationship Id="coreR7DA288C0" Type="http://schemas.openxmlformats.org/package/2006/relationships/metadata/core-properties" Target="/docProps/core.xml" /><Relationship Id="customR7DA288C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sedlářské výrobě (kód: 32-043-E)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Brašnář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strojů a zařízení používaných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kvality materiálů používaných v sedlářské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jednoduchých pracovních operací při výrobě sedlářských dílců a součástí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Spojování dílců a součástí ručním a strojním šitím v sedlářské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jednoduchých úprav součástí a hotových výrobků v sedlářské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Konečná úprava vzhledu sedlářských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sedlářské výrobě,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https://www.nsp.cz/jednotka-prace/brasnar#zdravotni-zpusobilost).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kožedělné výroby.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kožedělné (sedlářské) výroby.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 výrobklu, k používaným pracovním postupům a k samostatnosti při řešení jednotlivých kritérií hodnocení.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sedlářské výrobě,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Columna, s. r. o.,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sedlářské výrobě,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