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37269A" Type="http://schemas.openxmlformats.org/officeDocument/2006/relationships/officeDocument" Target="/word/document.xml" /><Relationship Id="coreR3C37269A" Type="http://schemas.openxmlformats.org/package/2006/relationships/metadata/core-properties" Target="/docProps/core.xml" /><Relationship Id="customR3C37269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Modelář/modelářka obuvnických kopyt (kód: 32-041-M)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při výrobě obuvnických kopyt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dokumentace, názvosloví a značení obuvnických kopyt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technické normalizace při výrobě obuvnických kopyt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obuvnických kopyt a materiálů pro jejich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strojů a zařízení pro modelování obuvnických kopyt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Zhotovení návrhu a modelu obuvnického kopyta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Konstruování obuvnických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Zhotovení stélky obuvnického kopyta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Konstruování podélného profilu a kopie obuvnického kopyta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Zhotovení modelu obuvnického kopyta a centrování kopyt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zásad při kontrukci obuvnického kopyta zdravotně nezávadného obouvání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obuvnických kopyt,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https://nsp.cz/jednotka-prace/drevomodelar-4997#zdravotni-zpusobilost).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výroby obuvnických kopyt.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obuvnických kopyt.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ošetřování, údržba strojů a zařízení pro modelování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konkrétní pracovní operace na strojích a zařízení pro výrobu obuvnických kopyt, ke kterým se budou vztahovat zadané úkoly.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stélky obuvnického kopyta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modelu obuvnického kopyta a centrování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 a b) druh technologického zařízení, ke kterému se budou vztahovat zadané úkoly.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hodnocení je třeba sledovat používání odborné terminologie a využívání odborných znalostí.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obuvnických kopyt,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 centrum,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obuvnických kopyt, 11.9.2026 18:34:04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