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E25C2D" Type="http://schemas.openxmlformats.org/officeDocument/2006/relationships/officeDocument" Target="/word/document.xml" /><Relationship Id="coreR35E25C2D" Type="http://schemas.openxmlformats.org/package/2006/relationships/metadata/core-properties" Target="/docProps/core.xml" /><Relationship Id="customR35E25C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odpadních olejů (kód: 28-100-H)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normách pro nakládání s odpadními oleji a odpady ropného původu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recyklace a nakládání s odpadními oleji a odpady ropného původu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a regenerace odpadních olejů podle standardních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vstupů, průběhu a výstupů technologického procesu recyklace a regenerace odpadních olejů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Sběr, shromažďování a třídění odpadních olejů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odpadních olejů a odpadů z recyklačního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odpadních olejů a odpadů z recyklačního procesu k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 odpadních olejů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katalogy, firemní materiály apod.).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kriteriím nejméně dvě úlohy, které umožní ověřit příslušná kritéria hodnocení. Zkoušející také podle zaměření uchazeče zpřesní komoditní obsah části zkoušky na vybrané (určené) druhy odpadních olejů a odpadů ropného původu. Výběr nejméně dvou komoditně odlišných vzorků stanoví autorizovaná osoba podle odborného zaměření uchazeče o zkoušku.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návody a předpisy v reálných podmínkách, a to z hlediska bezpečnosti a hygieny práce, protipožárních opatření, kvality získaných materiálových výstupů a nakládání s nebezpečnými odpady. Při vizuálním hodnocení druhů odpadních olejů a jejich znečištění bude uchazeč vycházet z informace zkoušejícího, jak je vzorek deklarován, jaké odpadní oleje obsahuje. Jeho úkolem je podle konzistence a barvy odpadních olejů rozlišit jejich druhy a odhadnout, o jaký odpad se jedná. Uchazeč bude hodnotit, jaký materiál je považován v konkrétním druhu odpadních olejů za znečištění - především voda a mechanické nečistoty. Důležitý je i proces hodnocení vzorku uchazečem.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uchazeči, zda ověření bude probíhat v provozním či simulovaném prostředí a dále jaké aspekty budou sledovány při výkonu činností a při nakládání s materiálem v pozvánce ke zkoušce.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nebo předpisu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manipulační prostředky a skladové nádoby nebo kontejnery bude uchazeč při praktickém ověření vybírat z předložených katalogů nebo poskytnutých prostředků.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odpadů, požadavky na bezpečné zacházení s konkrétním nářadím nebo zařízením) dostane uchazeč 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je uchazeči zadán úkol, uchazeč vypracuje podle zadání popis, charakteristiku, seznam požadavků, parametrů, doplněné o jejich vysvětlení a zdůvodnění.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2 až 3 modelové situace a vzorové dokumenty pro praktické a písemné ověřování.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SSARS- Střední škola šlužeb a řemesel, Stochov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AKM Oil, s. r. o., Kladno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16:59:50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