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A906C" Type="http://schemas.openxmlformats.org/officeDocument/2006/relationships/officeDocument" Target="/word/document.xml" /><Relationship Id="coreRA4A906C" Type="http://schemas.openxmlformats.org/package/2006/relationships/metadata/core-properties" Target="/docProps/core.xml" /><Relationship Id="customRA4A9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Výrobce/výrobkyně forem pro tlakové lití v keramice a střední vzdělání s maturitní zkouškou a alespoň 5 let odborné praxe v oblasti keramické výroby.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Výrobce/výrobkyně forem pro tlakové lití v keramice, 27.10.2026 3:47:32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46F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68E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