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5B63E08" Type="http://schemas.openxmlformats.org/officeDocument/2006/relationships/officeDocument" Target="/word/document.xml" /><Relationship Id="coreR75B63E08" Type="http://schemas.openxmlformats.org/package/2006/relationships/metadata/core-properties" Target="/docProps/core.xml" /><Relationship Id="customR75B63E08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Chemicko-farmaceutický technolog / chemicko-farmaceutická technoložka (kód: 28-099-M)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Technická chemie a chemie silikátů (kód: 28)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Chemicko-farmaceutický technolog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Chemicko-farmaceutický technolog / chemicko-farmaceutická technoložka, 14.9.2026 8:33:54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607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NutriAcademy, s.r.o.</w:t>
      </w:r>
    </w:p>
    <w:p>
      <w:pPr>
        <w:pStyle w:val="P15"/>
        <w:framePr w:w="2784" w:h="607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 xml:space="preserve">U krčské vodárny  949/49, 14000 Praha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Chemicko-farmaceutický technolog / chemicko-farmaceutická technoložka, 14.9.2026 8:33:54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