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184AE" Type="http://schemas.openxmlformats.org/officeDocument/2006/relationships/officeDocument" Target="/word/document.xml" /><Relationship Id="coreR1DD184AE" Type="http://schemas.openxmlformats.org/package/2006/relationships/metadata/core-properties" Target="/docProps/core.xml" /><Relationship Id="customR1DD184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 pro detekci akcelerantů hoření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Psovod bezpečnostní služby pro detekci akcelerantů hoření, 17.9.2026 4:07:01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9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21"/>
        <w:framePr w:w="7654" w:h="331" w:hRule="exact" w:wrap="none" w:vAnchor="page" w:hAnchor="margin" w:x="28" w:y="15940"/>
        <w:rPr>
          <w:rStyle w:val="C16"/>
          <w:rtl w:val="0"/>
        </w:rPr>
      </w:pPr>
      <w:r>
        <w:rPr>
          <w:rStyle w:val="C16"/>
          <w:rtl w:val="0"/>
        </w:rPr>
        <w:t>Psovod bezpečnostní služby pro detekci akcelerantů hoření, 17.9.2026 4:07:01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 bezpečnostní služby pro detekci akcelerantů hoření, 17.9.2026 4:07:01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