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B5EB12" Type="http://schemas.openxmlformats.org/officeDocument/2006/relationships/officeDocument" Target="/word/document.xml" /><Relationship Id="coreR67B5EB12" Type="http://schemas.openxmlformats.org/package/2006/relationships/metadata/core-properties" Target="/docProps/core.xml" /><Relationship Id="customR67B5EB1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převozu finanční hotovosti a cenin (kód: 68-004-H)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převozu finanční hotovosti a cenin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právních základů soukromé bezpečnostní činnosti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Defenzivní řízení vozidla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Vykonávání ozbrojeného doprovodu osob a dopravních prostředků při přepravě peněz a cenin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Ochrana a ostraha bankovních objektů a transportů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Obsluhování jednoduchých mechanických a elektronických zabezpečovacích zařízení, poplachových a požárních signalizací a kamerových systémů</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Obsluhování a používání optických, signalizačních a komunikačních prostředků určených k ostraze objektů a osob</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Vykonávání zásahových akcí při narušení bezpečnosti chráněných objektů, zadržování narušitelů a zajišťování míst činu s použitím věcných bezpečnostních prostředků a zbraní</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3</w:t>
      </w:r>
    </w:p>
    <w:p>
      <w:pPr>
        <w:pStyle w:val="P16"/>
        <w:framePr w:w="9826" w:h="607" w:hRule="exact" w:wrap="none" w:vAnchor="page" w:hAnchor="margin" w:x="45" w:y="8945"/>
        <w:rPr>
          <w:rStyle w:val="C3"/>
          <w:rtl w:val="0"/>
        </w:rPr>
      </w:pPr>
    </w:p>
    <w:p>
      <w:pPr>
        <w:pStyle w:val="P17"/>
        <w:framePr w:w="9774" w:h="480" w:hRule="exact" w:wrap="none" w:vAnchor="page" w:hAnchor="margin" w:x="71" w:y="9001"/>
        <w:rPr>
          <w:rStyle w:val="C13"/>
          <w:rtl w:val="0"/>
        </w:rPr>
      </w:pPr>
      <w:r>
        <w:rPr>
          <w:rStyle w:val="C13"/>
          <w:rtl w:val="0"/>
        </w:rPr>
        <w:t>Uplatňování zásad součinnosti se složkami integrovaného záchranného systému, zejména s Policií ČR a vymezenými osobami</w:t>
      </w:r>
    </w:p>
    <w:p>
      <w:pPr>
        <w:pStyle w:val="P18"/>
        <w:framePr w:w="805" w:h="607" w:hRule="exact" w:wrap="none" w:vAnchor="page" w:hAnchor="margin" w:x="9916" w:y="8945"/>
        <w:rPr>
          <w:rStyle w:val="C3"/>
          <w:rtl w:val="0"/>
        </w:rPr>
      </w:pPr>
    </w:p>
    <w:p>
      <w:pPr>
        <w:pStyle w:val="P19"/>
        <w:framePr w:w="723" w:h="480" w:hRule="exact" w:wrap="none" w:vAnchor="page" w:hAnchor="margin" w:x="9972" w:y="9001"/>
        <w:rPr>
          <w:rStyle w:val="C14"/>
          <w:rtl w:val="0"/>
        </w:rPr>
      </w:pPr>
      <w:r>
        <w:rPr>
          <w:rStyle w:val="C14"/>
          <w:rtl w:val="0"/>
        </w:rPr>
        <w:t>3</w:t>
      </w:r>
    </w:p>
    <w:p>
      <w:pPr>
        <w:pStyle w:val="P12"/>
        <w:framePr w:w="9826" w:h="376" w:hRule="exact" w:wrap="none" w:vAnchor="page" w:hAnchor="margin" w:x="45" w:y="9552"/>
        <w:rPr>
          <w:rStyle w:val="C3"/>
          <w:rtl w:val="0"/>
        </w:rPr>
      </w:pPr>
    </w:p>
    <w:p>
      <w:pPr>
        <w:pStyle w:val="P13"/>
        <w:framePr w:w="9774" w:h="249" w:hRule="exact" w:wrap="none" w:vAnchor="page" w:hAnchor="margin" w:x="71" w:y="9608"/>
        <w:rPr>
          <w:rStyle w:val="C11"/>
          <w:rtl w:val="0"/>
        </w:rPr>
      </w:pPr>
      <w:r>
        <w:rPr>
          <w:rStyle w:val="C11"/>
          <w:rtl w:val="0"/>
        </w:rPr>
        <w:t>Komplexní zajišťování obsluhy bankovních automatů</w:t>
      </w:r>
    </w:p>
    <w:p>
      <w:pPr>
        <w:pStyle w:val="P14"/>
        <w:framePr w:w="805" w:h="376" w:hRule="exact" w:wrap="none" w:vAnchor="page" w:hAnchor="margin" w:x="9916" w:y="9552"/>
        <w:rPr>
          <w:rStyle w:val="C3"/>
          <w:rtl w:val="0"/>
        </w:rPr>
      </w:pPr>
    </w:p>
    <w:p>
      <w:pPr>
        <w:pStyle w:val="P15"/>
        <w:framePr w:w="723" w:h="249" w:hRule="exact" w:wrap="none" w:vAnchor="page" w:hAnchor="margin" w:x="9972" w:y="9608"/>
        <w:rPr>
          <w:rStyle w:val="C12"/>
          <w:rtl w:val="0"/>
        </w:rPr>
      </w:pPr>
      <w:r>
        <w:rPr>
          <w:rStyle w:val="C12"/>
          <w:rtl w:val="0"/>
        </w:rPr>
        <w:t>3</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Vedení dokumentace o průběhu služby a o mimořádných událostech</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3</w:t>
      </w:r>
    </w:p>
    <w:p>
      <w:pPr>
        <w:pStyle w:val="P7"/>
        <w:framePr w:w="8788" w:h="340" w:hRule="exact" w:wrap="none" w:vAnchor="page" w:hAnchor="margin" w:x="28" w:y="10531"/>
        <w:rPr>
          <w:rStyle w:val="C8"/>
          <w:rtl w:val="0"/>
        </w:rPr>
      </w:pPr>
      <w:r>
        <w:rPr>
          <w:rStyle w:val="C8"/>
          <w:rtl w:val="0"/>
        </w:rPr>
        <w:t>Platnost standardu</w:t>
      </w:r>
    </w:p>
    <w:p>
      <w:pPr>
        <w:pStyle w:val="P20"/>
        <w:framePr w:w="4283" w:h="248" w:hRule="exact" w:wrap="none" w:vAnchor="page" w:hAnchor="margin" w:x="28" w:y="10871"/>
        <w:rPr>
          <w:rStyle w:val="C15"/>
          <w:rtl w:val="0"/>
        </w:rPr>
      </w:pPr>
      <w:r>
        <w:rPr>
          <w:rStyle w:val="C15"/>
          <w:rtl w:val="0"/>
        </w:rPr>
        <w:t>Standard je platný od: 21.10.2022 do: 27.05.2024</w:t>
      </w:r>
    </w:p>
    <w:p>
      <w:pPr>
        <w:pStyle w:val="P21"/>
        <w:framePr w:w="7654" w:h="331" w:hRule="exact" w:wrap="none" w:vAnchor="page" w:hAnchor="margin" w:x="28" w:y="15940"/>
        <w:rPr>
          <w:rStyle w:val="C16"/>
          <w:rtl w:val="0"/>
        </w:rPr>
      </w:pPr>
      <w:r>
        <w:rPr>
          <w:rStyle w:val="C16"/>
          <w:rtl w:val="0"/>
        </w:rPr>
        <w:t>Pracovník/pracovnice převozu finanční hotovosti a cenin, 30.4.2026 6:00:35</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8235"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http://katalog.nsp.cz/karta_p.aspx?id_jp=101836&amp;kod_sm1=6) – uchazeč musí předložit potvrzení od lékaře, že je schopen řídit motorové vozidlo.</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možnost skládat zkoušku je doložení profesní kvalifikace 68-008-E Strážný/strážná a řidičského oprávnění skupiny C.</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má formu kombinace písemné, praktické a ústní</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zkoušky. Kritéria ověřovaná písemně se ověřují formou testu. Test obsahuje 30 otázek náhodně vybraných ze souboru testových otázek tak, aby byla pokryta celá problematika dané kompetence. Soubor testových otázek musí obsahovat minimálně 120 otázek. Ostatní kritéria se ověřují stanoveným způsobem buď formou ústního ověření, nebo praktického předvedení s případným ústním zdůvodněním.</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úspěšnému vykonání písemné části zkoušky je nutné odpovědět nejméně 80 %, to je 24 otázek testu správně.</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v českém jazyce.</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Komise připraví do zahájení zkoušky pracoviště, věcné bezpečnostní prostředky, techniku, zařízení, písemný test a ostatní informace potřebné k ověření jednotlivých kritérií. Určený člen komise poučí uchazeče před zahájením časového limitu o způsobu provedení písemné formy zkoušky a se způsobem ověření praktických dovedností.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průběhu zkoušky mohou členové komise klást doplňující otázky.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ověření odborné způsobilosti vykonává praktickou část zkoušky v zásahovém oděvu s nezbytnou výstrojí a výzbrojí tak, aby bylo možné ověřit praktické předvedení tam, kde to hodnoticí standard stanoví.</w:t>
      </w:r>
    </w:p>
    <w:p>
      <w:pPr>
        <w:pStyle w:val="P21"/>
        <w:framePr w:w="7654" w:h="331" w:hRule="exact" w:wrap="none" w:vAnchor="page" w:hAnchor="margin" w:x="28" w:y="15940"/>
        <w:rPr>
          <w:rStyle w:val="C16"/>
          <w:rtl w:val="0"/>
        </w:rPr>
      </w:pPr>
      <w:r>
        <w:rPr>
          <w:rStyle w:val="C16"/>
          <w:rtl w:val="0"/>
        </w:rPr>
        <w:t>Pracovník/pracovnice převozu finanční hotovosti a cenin, 30.4.2026 6:00:35</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bezpečnost a ochranu osob a majetku a bezpečnost práce,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podniků komerční bezpečnosti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Security Club</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Loomis Czech Republic, a. s.</w:t>
      </w:r>
    </w:p>
    <w:p>
      <w:pPr>
        <w:pStyle w:val="P21"/>
        <w:framePr w:w="7654" w:h="331" w:hRule="exact" w:wrap="none" w:vAnchor="page" w:hAnchor="margin" w:x="28" w:y="15940"/>
        <w:rPr>
          <w:rStyle w:val="C16"/>
          <w:rtl w:val="0"/>
        </w:rPr>
      </w:pPr>
      <w:r>
        <w:rPr>
          <w:rStyle w:val="C16"/>
          <w:rtl w:val="0"/>
        </w:rPr>
        <w:t>Pracovník/pracovnice převozu finanční hotovosti a cenin, 30.4.2026 6:00:35</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