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1644A" Type="http://schemas.openxmlformats.org/officeDocument/2006/relationships/officeDocument" Target="/word/document.xml" /><Relationship Id="coreRCB1644A" Type="http://schemas.openxmlformats.org/package/2006/relationships/metadata/core-properties" Target="/docProps/core.xml" /><Relationship Id="customRCB164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referent/referentka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apod.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referent/referentka, 1.11.2026 3:00:38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není nutné splnit všechna kritéria. Autorizovaná osoba sdělí a nejpozději spolu s pozvánkou zašle uchazeči výčet kritérií, která lze s ohledem na technické a technologické podmínky autorizované osoby ověřovat a současně zašle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kompetencí Rozhodování o bezpečnostních opatřeních ve standardních i nestandardních situacích, kritérium b), Řízení bezpečnostních pracovníků a jejich zařazování do směn, kritérium b) a Zajišťování prvotních činností k odvrácení nebezpečí nebo zamezení škody do příjezdu hasičů, policie apod., kritérium a) proběhne v průběhu zkoušky formou vypracování případové studie k zadanému scénáři. Obhajoba zvoleného řešení je součástí ústního ověření. Případová studie by neměla přesáhnout 3 stránky textu, tabulek, náčrtů a výpočtů formátu A4.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Komise připraví do zahájení zkoušky pracoviště, jednotlivé scénáře, vstupní údaje, grafické podklady a ostatní informace potřebné k ověření jednotlivých kriterií. Určený člen komise poučí uchazeče před zahájením časového limitu o způsobu písemného ověření jednotlivých kritérií a se způsobem a omezeními předvedení praktických dovedností.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referent/referentka, 1.11.2026 3:00:38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SPD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TRIVIS, Centrum profesní přípravy,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referent/referentka, 1.11.2026 3:00:38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