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B142D7" Type="http://schemas.openxmlformats.org/officeDocument/2006/relationships/officeDocument" Target="/word/document.xml" /><Relationship Id="coreR3BB142D7" Type="http://schemas.openxmlformats.org/package/2006/relationships/metadata/core-properties" Target="/docProps/core.xml" /><Relationship Id="customR3BB142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11.02.2022 do: 15.12.2022</w:t>
      </w:r>
    </w:p>
    <w:p>
      <w:pPr>
        <w:pStyle w:val="P21"/>
        <w:framePr w:w="7654" w:h="331" w:hRule="exact" w:wrap="none" w:vAnchor="page" w:hAnchor="margin" w:x="28" w:y="15940"/>
        <w:rPr>
          <w:rStyle w:val="C16"/>
          <w:rtl w:val="0"/>
        </w:rPr>
      </w:pPr>
      <w:r>
        <w:rPr>
          <w:rStyle w:val="C16"/>
          <w:rtl w:val="0"/>
        </w:rPr>
        <w:t>Montér/montérka měření v elektroenergetice, 4.8.2026 3:04:10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47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Předpokladem připuštění ke zkoušce je předložení platného Osvědčení o elektrotechnické způsobilosti podle vyhlášky č. 50/1978 Sb., min. § 6, ve znění pozdějších předpisů.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4.8.2026 3:04:10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4.8.2026 3:04:10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