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B2972B" Type="http://schemas.openxmlformats.org/officeDocument/2006/relationships/officeDocument" Target="/word/document.xml" /><Relationship Id="coreR5EB2972B" Type="http://schemas.openxmlformats.org/package/2006/relationships/metadata/core-properties" Target="/docProps/core.xml" /><Relationship Id="customR5EB297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11.02.2022 do: 15.12.2022</w:t>
      </w:r>
    </w:p>
    <w:p>
      <w:pPr>
        <w:pStyle w:val="P21"/>
        <w:framePr w:w="7654" w:h="331" w:hRule="exact" w:wrap="none" w:vAnchor="page" w:hAnchor="margin" w:x="28" w:y="15940"/>
        <w:rPr>
          <w:rStyle w:val="C16"/>
          <w:rtl w:val="0"/>
        </w:rPr>
      </w:pPr>
      <w:r>
        <w:rPr>
          <w:rStyle w:val="C16"/>
          <w:rtl w:val="0"/>
        </w:rPr>
        <w:t>Montér/montérka měření v elektroenergetice, 3.11.2026 17:38:10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47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předložení platného Osvědčení o elektrotechnické způsobilosti podle vyhlášky č. 50/1978 Sb., min. § 6, ve znění pozdějších předpisů.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3.11.2026 17:38:10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3.11.2026 17:38:10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