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AAC72A" Type="http://schemas.openxmlformats.org/officeDocument/2006/relationships/officeDocument" Target="/word/document.xml" /><Relationship Id="coreR37AAC72A" Type="http://schemas.openxmlformats.org/package/2006/relationships/metadata/core-properties" Target="/docProps/core.xml" /><Relationship Id="customR37AAC7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11.02.2022 do: 15.12.2022</w:t>
      </w:r>
    </w:p>
    <w:p>
      <w:pPr>
        <w:pStyle w:val="P21"/>
        <w:framePr w:w="7654" w:h="331" w:hRule="exact" w:wrap="none" w:vAnchor="page" w:hAnchor="margin" w:x="28" w:y="15940"/>
        <w:rPr>
          <w:rStyle w:val="C16"/>
          <w:rtl w:val="0"/>
        </w:rPr>
      </w:pPr>
      <w:r>
        <w:rPr>
          <w:rStyle w:val="C16"/>
          <w:rtl w:val="0"/>
        </w:rPr>
        <w:t>Montér/montérka měření v elektroenergetice, 18.9.2026 6:53:43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47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předložení platného Osvědčení o elektrotechnické způsobilosti podle vyhlášky č. 50/1978 Sb., min. § 6, ve znění pozdějších předpisů.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7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18.9.2026 6:53:43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18.9.2026 6:53:43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