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8541153" Type="http://schemas.openxmlformats.org/officeDocument/2006/relationships/officeDocument" Target="/word/document.xml" /><Relationship Id="coreR28541153" Type="http://schemas.openxmlformats.org/package/2006/relationships/metadata/core-properties" Target="/docProps/core.xml" /><Relationship Id="customR2854115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Obchodní sládek/sládková (kód: 65-037-M)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Gastronomie, hotelnictví a turismus (kód: 65)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30.08.2023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Obchodní sládek/sládková, 11.9.2026 19:11:45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Vztahy s dalšími kvalifikacemi</w:t>
      </w:r>
    </w:p>
    <w:p>
      <w:pPr>
        <w:pStyle w:val="P6"/>
        <w:framePr w:w="10710" w:h="248" w:hRule="exact" w:wrap="none" w:vAnchor="page" w:hAnchor="margin" w:x="28" w:y="3061"/>
        <w:rPr>
          <w:rStyle w:val="C7"/>
          <w:rtl w:val="0"/>
        </w:rPr>
      </w:pPr>
      <w:r>
        <w:rPr>
          <w:rStyle w:val="C7"/>
          <w:rtl w:val="0"/>
        </w:rPr>
        <w:t>Profesní kvalifikace Obchodní sládek/sládková rozvíjí profesní kvalifikaci Číšník/servírka.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Obchodní sládek/sládková, 11.9.2026 19:11:45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