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BE6F50" Type="http://schemas.openxmlformats.org/officeDocument/2006/relationships/officeDocument" Target="/word/document.xml" /><Relationship Id="coreR31BE6F50" Type="http://schemas.openxmlformats.org/package/2006/relationships/metadata/core-properties" Target="/docProps/core.xml" /><Relationship Id="customR31BE6F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akcidenčních ofsetových kotoučových strojů (kód: 34-052-M)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osádky akcidenčního ofsetového kotoučového stroje a koordinace její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polygrafického integrovaného informačního systému při přípravě a řízení produkce ofsetového akcidenčního kotoučového stroje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tiskařské práce, potřebných pomůcek a barev na akcidenčních ofsetových kotoučových strojích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Převzetí výrobních podkladů pro tisk nové zakázky na akcidenčních ofsetových kotoučových strojích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Převzetí a příprava potiskovaného materiálu, tiskových forem a tiskových barev na akcidenčních ofsetových kotoučových strojích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Příprava a seřízení akcidenčních ofsetových kotoučových strojů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Dodržení normativu při tisku celé zakázky na akcidenčních ofsetových kotoučových strojích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Dokončení tisku, předání zakázky na akcidenčních ofsetových kotoučových strojích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Kontrola, údržba a čištění akcidenčního ofsetového kotoučového stroje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akcidenčních ofsetových kotoučových strojů, 18.9.2026 6:06:29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– shodně jako u PK Tiskař na akcidenčních ofsetových kotoučových strojích - http://katalog.nsp.cz/karta_p.aspx?id_jp=102019). Dále se musí uchazeč prokázat lékařským potvrzením, že netrpí poruchou barvocitu (poruchou barevného vidění).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ofsetového tisku a opírá se o tyto normy: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Tisk ofsetem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Procesy zhotovování nátisku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OHSAS 18001 - Bezpečnost a ochrana zdraví při práci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ISO 14001 Systémy environmentálního managementu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uvedené normy jsou v aktuálním platném znění. 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hodnocení, kde je požadováno praktické předvedení, lze z provozních důvodů při ověřování kritéria připustit simulaci dané činnosti přímo u tiskového stroje.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pro ověřování jednotlivých kompetencí: časopisecká složka formátu A4, barevnost 4/4 (procesní čtyřbarvotisk), rozsah min. 16 stran, tisk rub a líc, formát šíře pásu min. 620 mm, gramáž 52 g/m² SC.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akcidenčních ofsetových kotoučových strojů, 18.9.2026 6:06:29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MR MEDIA, s. r. o.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Grafická Praha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Svoboda Press, s. r. o.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PB TISK, s. r. o.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akcidenčních ofsetových kotoučových strojů, 18.9.2026 6:06:29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