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172537" Type="http://schemas.openxmlformats.org/officeDocument/2006/relationships/officeDocument" Target="/word/document.xml" /><Relationship Id="coreR32172537" Type="http://schemas.openxmlformats.org/package/2006/relationships/metadata/core-properties" Target="/docProps/core.xml" /><Relationship Id="customR321725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ofsetových archových strojů (kód: 34-053-M)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osádky ofsetového archového stroje a koordinace její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polygrafického integrovaného informačního systému při přípravě a řízení produkce ofsetového archového stroje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ofsetových archových strojích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ofsetových archových strojích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materiálu, tiskových forem, tiskových barev a laků na ofsetových archových strojích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Příprava a seřízení ofsetových archových strojů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ofsetových archových strojích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Dokončení tisku, předání zakázky na ofsetových archových strojích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Kontrola, údržba a čištění ofsetového archového stroje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ofsetových archových strojů,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– shodně jako u PK Tiskař na ofsetových archových strojích - http://katalog.nsp.cz/karta_p.aspx?id_jp=100902). Dále se musí uchazeč prokázat lékařským potvrzením, že netrpí poruchou barvocitu (poruchou barevného vidění).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ofsetového tisku a opírá se o tyto normy: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Procesy zhotovování nátisku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OHSAS 18001 - Bezpečnost a ochrana zdraví při práci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ISO 14001 Systémy environmentálního managementu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uvedené normy jsou v aktuálním platném znění.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požadováno praktické předvedení, lze z provozních důvodů při ověřování kritéria připustit simulaci dané činnosti přímo u tiskového stroje.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pro ověřování jednotlivých kompetencí: časopisecká obálka ve formátu A4, barevnost 4/4 (stabilizovaný čtyřbarvotisk), disperzní lak 1/0, rozsah 4 strany, tisk na obracení, formát tiskového archu nejméně B2, plošná hmotnost kartonu 150 g/m².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ofsetových archových strojů,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MR MEDIA,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Svoboda Press,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PB TISK,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ofsetových archových strojů,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