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D27C7E" Type="http://schemas.openxmlformats.org/officeDocument/2006/relationships/officeDocument" Target="/word/document.xml" /><Relationship Id="coreRAD27C7E" Type="http://schemas.openxmlformats.org/package/2006/relationships/metadata/core-properties" Target="/docProps/core.xml" /><Relationship Id="customRAD27C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ofsetových archových strojů (kód: 34-053-M)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ofsetového archového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polygrafického integrovaného informačního systému při přípravě a řízení produkce ofsetového archového stroje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ofsetových archových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ofsetových archových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forem, tiskových barev a laků na ofsetových archových strojích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a seřízení ofsetových archových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ofsetových archových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Dokončení tisku, předání zakázky na ofsetových archových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údržba a čištění ofsetového archového stroje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ofsetových archových strojů, 27.10.2026 3:42:21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ofsetových archových strojích - http://katalog.nsp.cz/karta_p.aspx?id_jp=100902). Dále se musí uchazeč prokázat lékařským potvrzením, že netrpí poruchou barvocitu (poruchou barevného vidění).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uvedené normy jsou v aktuálním platném znění.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časopisecká obálka ve formátu A4, barevnost 4/4 (stabilizovaný čtyřbarvotisk), disperzní lak 1/0, rozsah 4 strany, tisk na obracení, formát tiskového archu nejméně B2, plošná hmotnost kartonu 150 g/m².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ofsetových archových strojů, 27.10.2026 3:42:21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PB TISK,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ofsetových archových strojů, 27.10.2026 3:42:21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