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F0D72F" Type="http://schemas.openxmlformats.org/officeDocument/2006/relationships/officeDocument" Target="/word/document.xml" /><Relationship Id="coreR70F0D72F" Type="http://schemas.openxmlformats.org/package/2006/relationships/metadata/core-properties" Target="/docProps/core.xml" /><Relationship Id="customR70F0D7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ofsetových archových strojů (kód: 34-053-M)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ofsetového archového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polygrafického integrovaného informačního systému při přípravě a řízení produkce ofsetového archového stroje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ofsetových archových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ofsetových archových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forem, tiskových barev a laků na ofsetových archových strojích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a seřízení ofsetových archových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ofsetových archových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Dokončení tisku, předání zakázky na ofsetových archových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údržba a čištění ofsetového archového stroje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ofsetových archových strojů, 27.10.2026 3:47:29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ofsetových archových strojích - http://katalog.nsp.cz/karta_p.aspx?id_jp=100902). Dále se musí uchazeč prokázat lékařským potvrzením, že netrpí poruchou barvocitu (poruchou barevného vidění).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uvedené normy jsou v aktuálním platném znění.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časopisecká obálka ve formátu A4, barevnost 4/4 (stabilizovaný čtyřbarvotisk), disperzní lak 1/0, rozsah 4 strany, tisk na obracení, formát tiskového archu nejméně B2, plošná hmotnost kartonu 150 g/m².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ofsetových archových strojů, 27.10.2026 3:47:29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PB TISK,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ofsetových archových strojů, 27.10.2026 3:47:29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