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2D8D0" Type="http://schemas.openxmlformats.org/officeDocument/2006/relationships/officeDocument" Target="/word/document.xml" /><Relationship Id="coreR4E72D8D0" Type="http://schemas.openxmlformats.org/package/2006/relationships/metadata/core-properties" Target="/docProps/core.xml" /><Relationship Id="customR4E72D8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 rekonstrukcí protierozních opatření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zemědělství a v dalších oblastech využití melioračních staveb a opatření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a organizace prací na protierozních opatřeních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aby věděl, co je náplní jednotlivých zákonů. Podrobně je třeba vysvětlit pouze to, co je přímo uvedeno v hodnoticím standardu.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(AOs) měla připraveny alespoň dvě varianty podkladů a příkladů pro přezkoušení. Kompetenci Orientace ve vodohospodářských normách, standardech, legislativě a dokumentaci se zaměřením na meliorační stavby a opatření, kritérium h) zkouší AOs uchazeče s použitím "Územně plánovací dokumentace" (ÚPD), kritérium i) zkouší AOs uchazeče s použitím "Plánu společných zařízení".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Plánování údržby, oprav a rekonstrukcí odvodňovacích soustav, kritérium a), d) a e) zkouší AOs uchazeče s použitím "Projektové dokumentace" (PD).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Jednání s investory a správními orgány v rámci melioračních staveb, kritérium a) zkouší AOs uchazeče prakticky s použitím ÚPD, kritérium d) zkouší AOs uchazeče s použitím projektu "Komplexní pozemková úprava" (KPÚ).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Provádění kontrolní činnosti a organizace prací na odvodňovacích soustavách, kritérium b), c), d) a e) zkouší AOs uchazeče prakticky s použitím "Projektové dokumentace" (PD).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R, spol. s r. o.,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Vvšší odborná škola stavební a Střední škola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meliorací a ochrany půdy, v. v. i.,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protierozních opatření, 27.10.2026 4:14:32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