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0D51A" Type="http://schemas.openxmlformats.org/officeDocument/2006/relationships/officeDocument" Target="/word/document.xml" /><Relationship Id="coreR3B40D51A" Type="http://schemas.openxmlformats.org/package/2006/relationships/metadata/core-properties" Target="/docProps/core.xml" /><Relationship Id="customR3B40D5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protierozních opatření (kód: 36-169-M)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 rekonstrukcí protierozních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zemědělství a v dalších oblastech využití melioračních staveb a opatření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a organizace prací na protierozních opatřeních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protierozních opatření, 27.10.2026 1:24:09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aby věděl, co je náplní jednotlivých zákonů. Podrobně je třeba vysvětlit pouze to, co je přímo uvedeno v hodnoticím standardu.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(AOs) měla připraveny alespoň dvě varianty podkladů a příkladů pro přezkoušení. Kompetenci Orientace ve vodohospodářských normách, standardech, legislativě a dokumentaci se zaměřením na meliorační stavby a opatření, kritérium h) zkouší AOs uchazeče s použitím "Územně plánovací dokumentace" (ÚPD), kritérium i) zkouší AOs uchazeče s použitím "Plánu společných zařízení".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Plánování údržby, oprav a rekonstrukcí odvodňovacích soustav, kritérium a), d) a e) zkouší AOs uchazeče s použitím "Projektové dokumentace" (PD).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Jednání s investory a správními orgány v rámci melioračních staveb, kritérium a) zkouší AOs uchazeče prakticky s použitím ÚPD, kritérium d) zkouší AOs uchazeče s použitím projektu "Komplexní pozemková úprava" (KPÚ).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Provádění kontrolní činnosti a organizace prací na odvodňovacích soustavách, kritérium b), c), d) a e) zkouší AOs uchazeče prakticky s použitím "Projektové dokumentace" (PD).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protierozních opatření, 27.10.2026 1:24:09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Vvšší odborná škola stavební a Střední škola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meliorací a ochrany půdy, v. v. i.,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protierozních opatření, 27.10.2026 1:24:09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