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933EEA" Type="http://schemas.openxmlformats.org/officeDocument/2006/relationships/officeDocument" Target="/word/document.xml" /><Relationship Id="coreRE933EEA" Type="http://schemas.openxmlformats.org/package/2006/relationships/metadata/core-properties" Target="/docProps/core.xml" /><Relationship Id="customRE933E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pro automatické objednávky obchodních jednotek (kód: 66-047-N)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 v maloobchodu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týkajících se automatických objednávek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katalogu výrobků a zboží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základních pojmech automatických objednávek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automatických objednávek na centrále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Využití výstupů z automatických objednávek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software automatických objednávek na centrále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automatických objednávek na obchodních filiálkách centrálou firmy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pro automatické objednávky obchodních jednotek, 29.10.2026 2:23:16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zkoušky, včetně technického a materiálního vybavení, které je uvedeno v další části tohoto dokumentu (viz. nezbytné technické a materiální předpoklady pro provedení zkoušky). Při samotné zkoušce se autorizovaná osoba zaměří na teoretické a praktické činnosti, které charakterizují danou pracovní pozici.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pro automatické objednávky obchodních jednotek, 29.10.2026 2:23:16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spotřební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Hromádka - OSVČ, Výroba, obchod a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Coop,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pro automatické objednávky obchodních jednotek, 29.10.2026 2:23:16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