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ECACC" Type="http://schemas.openxmlformats.org/officeDocument/2006/relationships/officeDocument" Target="/word/document.xml" /><Relationship Id="coreR657ECACC" Type="http://schemas.openxmlformats.org/package/2006/relationships/metadata/core-properties" Target="/docProps/core.xml" /><Relationship Id="customR657ECA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odpadové hospodářství (kód: 16-015-T)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podkladů pro plány, koncepce a opatření v odpadovém hospodářství organizace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odpadového hospodářství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odpady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provozní dokumentace pro nakládání s odpady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11:47:03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podkladů pro plány, koncepce a opatření v odpadovém hospodářství organizace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v odpadovém hospodářství organizace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„integrovaná prevence“ a „hierarchie nakládání s odpady“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klíčové indikátory, postupy jejich monitorování a vyhodnocování pro cíle a opatření v odpadovém hospodářství organizace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Doplnit příklad SWOT analýzy ke koncepci nakládání s odpady ve fiktivní organizaci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příklady zákonných povinností při třídění odpadů a další opatření zaváděná organizací podle požadavků odběratele přesahující rámec této zákonné povinnosti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Posoudit možnosti využití analýzy environmentálních nákladů při stanovení strategie k nakládání s odpady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1055" w:hRule="exact" w:wrap="none" w:vAnchor="page" w:hAnchor="margin" w:x="45" w:y="10116"/>
        <w:rPr>
          <w:rStyle w:val="C3"/>
          <w:rtl w:val="0"/>
        </w:rPr>
      </w:pPr>
    </w:p>
    <w:p>
      <w:pPr>
        <w:pStyle w:val="P17"/>
        <w:framePr w:w="6658" w:h="928" w:hRule="exact" w:wrap="none" w:vAnchor="page" w:hAnchor="margin" w:x="71" w:y="10172"/>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116"/>
        <w:rPr>
          <w:rStyle w:val="C3"/>
          <w:rtl w:val="0"/>
        </w:rPr>
      </w:pPr>
    </w:p>
    <w:p>
      <w:pPr>
        <w:pStyle w:val="P31"/>
        <w:framePr w:w="3839" w:h="928" w:hRule="exact" w:wrap="none" w:vAnchor="page" w:hAnchor="margin" w:x="6856" w:y="10172"/>
        <w:rPr>
          <w:rStyle w:val="C22"/>
          <w:rtl w:val="0"/>
        </w:rPr>
      </w:pPr>
      <w:r>
        <w:rPr>
          <w:rStyle w:val="C22"/>
          <w:rtl w:val="0"/>
        </w:rPr>
        <w:t>Praktické předvedení a 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Navrhnout strukturu a obsah školení zaměstnanců se zaměřením na předcházení vzniku odpadů a znečištění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11:47:03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bilančních modelů a Sankeyova diagramu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studie posuzování životního cyklu (Life Cycle Assessment, LCA) a uvést její význam pro nakládání s odpady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Vysvětlit, které informace o vstupech do výrobního procesu či do procesu poskytování služeb jsou využitelné  v celém životním cyklu produktu a zejména pro popis vlastností odpadů, jejich zařazení a využití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Zajišťování odpadového hospodářství v organizaci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Rozhodnout o označení movité věci za vedlejší produkt nebo odpad na modelovém příkladu materiálového toku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principy zařízení a postupů určených k separaci a třídění odpadů a uvést příklady jejich použití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1055" w:hRule="exact" w:wrap="none" w:vAnchor="page" w:hAnchor="margin" w:x="45" w:y="8576"/>
        <w:rPr>
          <w:rStyle w:val="C3"/>
          <w:rtl w:val="0"/>
        </w:rPr>
      </w:pPr>
    </w:p>
    <w:p>
      <w:pPr>
        <w:pStyle w:val="P17"/>
        <w:framePr w:w="6658" w:h="928" w:hRule="exact" w:wrap="none" w:vAnchor="page" w:hAnchor="margin" w:x="71" w:y="8632"/>
        <w:rPr>
          <w:rStyle w:val="C13"/>
          <w:rtl w:val="0"/>
        </w:rPr>
      </w:pPr>
      <w:r>
        <w:rPr>
          <w:rStyle w:val="C13"/>
          <w:rtl w:val="0"/>
        </w:rPr>
        <w:t>d) Vysvětlit definice termínů „třída nebezpečnosti“ a „kategorie nebezpečnosti“, obsah standardních vět o nebezpečnosti (tzv. H věty), pokynů pro bezpečné zacházení (tzv. P věty) a doplňující informace (tzv. EUH věty) podle nařízení CLP</w:t>
      </w:r>
    </w:p>
    <w:p>
      <w:pPr>
        <w:pStyle w:val="P30"/>
        <w:framePr w:w="3921" w:h="1055" w:hRule="exact" w:wrap="none" w:vAnchor="page" w:hAnchor="margin" w:x="6800" w:y="8576"/>
        <w:rPr>
          <w:rStyle w:val="C3"/>
          <w:rtl w:val="0"/>
        </w:rPr>
      </w:pPr>
    </w:p>
    <w:p>
      <w:pPr>
        <w:pStyle w:val="P31"/>
        <w:framePr w:w="3839" w:h="928"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e) Popsat postup stanovený pro hodnocení nebezpečných vlastností odpadů a požadavky na zkoušení odpadů pro účely hodnocení nebezpečných vlastností odpadů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f) Popsat na příkladu postup zařazování odpadů podle katalogu odpadů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g) Popsat označování látek nebo směsí, klasifikovaných jako nebezpečné podle nařízení CLP.</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h) Uvést dva příklady nebezpečné vlastnosti „schopnost vykazovat při nakládání s odpadem některou z nebezpečných vlastností, kterou v době vzniku neměl (HP15)“</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i) Shrnout a uvést povinnosti původce při předávání odpadů jiným osobám</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j) Uvést principy technických zařízení nebo technologií, které omezují přenos znečištění do životního prostředí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k) Uvést, ke kterým činnostem při nakládání s odpady v organizaci je třeba mít odbornou způsobilost</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l) Uvést příklady provozů, ve kterých vznikají nebezpečné karcinogenní (HP7), akutně toxické (HP6) nebo dráždivé (HP4) odpady</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Ústní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11:47:03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odpady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obsah databáze pro odpadové hospodářství, která bude využita k zpracování materiálové deklarace produktu a k předávání informace zpracovateli odpadu produktu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obsah databáze pro vedení průběžné evidence odpadů v organizaci a pro její využití k ročnímu hlášení o produkci a nakládání s odpady a pro potřeby povolení podle zákona o integrované prevenci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obsah databáze ke sledování přenosu znečištění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jak zajišťovat data k vyhodnocování nakládání s odpady podle požadavků zákona o odpadech</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Zpracování provozní dokumentace pro nakládání s odpady u původce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Provést interní audit modelového provozního dokumentu k nakládání s odpady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Vypracovat identifikační list nebezpečného odpadu s využitím internetu nebo dostupné databáze k získání informací o vlastnostech odpadu a harmonizované klasifikace nebezpečných chemických látek</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Vysvětlit význam technických norem a jejich účel při tvorbě provozních řádů organizace k nakládání s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Uvést případy, kdy se vyžaduje zpracování provozních a manipulačních řádů při nakládání s odpady</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11:47:03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zásad pedagogiky a psychologie by zkouška měla být diskusí partnerů. Uchazeč prokáže, že má dovednosti požadované pro kvalifikační úroveň 7, to znamená, že umí organizovat a řídit činnosti, integrovat poznatky z různých oblastí a používá systémové myšlení při inovacích. Při zkoušce nemá být ověřována podrobná citace zákona, ale schopnost požadavky zákona aplikovat a dávat do souladu s požadavky jiných zákonných předpisů. Hodnocené odpovědi by vždy měly zahrnovat mj. konkrétní aplikaci znalostí v oboru odpadového hospodářství s důrazem na aplikaci aktuálně platných právních požadavků.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teoretických znalostí uchazeč může používat potřebné zdroje informací (např. texty zákonů a vyhlášek, databáze látek, odpadů, www stránky, katalogy, firemní materiály, vzorové dokumenty), jako je tomu v reálné praxi.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 podklady pro praktické ověření (provozní řád, interní normy, údaje z průběžné evidence) dostane uchazeč k dispozici v době přípravy na zkoušku.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těchto kompetencí: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podkladů pro plány, koncepce a opatření v odpadovém hospodářství organizace,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 autorizovaná osoba připraví zadání pro materiálové toky ve fiktivních organizacích v pěti průmyslových odvětvích, pro které uchazeč navrhne klíčové indikátory, postupy jejich monitorování a vyhodnocování pro cíle a opatření v odpadovém hospodářství organizace. Uchazeč při přihlášení ke zkoušce obdrží v listinné formě zadání pro jednu z organizací, dva týdny před zkouškou zašle práci v rozsahu 4-6 stran v listinné nebo elektronické podobě autorizované osobě. Autorizovaná osoba zpracuje připomínky a sdělí je týden před zkouškou uchazeči, aby se mohl připravit na obhájení práce;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autorizovaná osoba připraví tabulku SWOT analýzy k nakládání s odpady jen s jedním nebo dvěma výroky v každém poli tabulky; uchazeč tabulku doplní dalšími výroky a zdůvodní je;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 autorizovaná osoba připraví přehled environmentálních nákladů pro nakládání s odpady v organizaci a příčiny vzniku těchto odpadů; uchazeč navrhne využití těchto dat pro změny v nakládání s odpady nebo uvede, jaká další data by ke svému rozhodnutí potřeboval.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Zavádění, udržování a zdokonalování systémů environmentálního managementu,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 autorizovaná osoba připraví modelový registr environmentálních aspektů; alespoň jeden z pěti nejvýznamnějších environmentálních aspektů by měl mít dopad na vznik odpadů; uchazeč popíše obecný postup identifikace aspektů, posoudí stanovení vztahu mezi environmentálním aspektem a dopadem v modelovém registru a navrhne cíle a opatření k řízení aspektu, který má dopad na množství a nebezpečnost vznikajících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 autorizovaná osoba připraví modelový dokument (směrnice EMS k nakládání s odpady v organizaci) v rozsahu 5-8 stran, dokument bude obsahovat 10 chyb; nejméně šest z nich musí uchazeč najít. Může se stát, že uchazeč vzhledem ke své praxi bude považovat za chybu i jiný text, než chybu záměrně připravenou. Autorizovaná osoba označení takové chyby uzná, pokud uchazeč svůj názor v diskusi zdůvodní.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Bilancování materiálových toků a využívání bilancí k řízení těchto toků,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 autorizovaná osoba připraví schémata materiálových toků ve třech výrobních procesech, např. podle metodiky čistší produkce; uchazeč popíše důvody vzniku odpadů v jednotlivých uzlech toku v jednom z procesů a možnosti předcházení vzniku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provozní dokumentace pro nakládání s odpady u původce,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autorizovaná osoba připraví modelový provozní dokument, např. k separaci odpadů na místě vzniku a vytvoření místa ke shromažďování odpadů před jejich předáním, v rozsahu 3-5 stran, dokument bude obsahovat 10 chyb a nedostatků, nejméně šest z nich musí uchazeč najít. Může se stát, že uchazeč vzhledem ke své praxi bude považovat za chybu i jiný text, než chybu záměrně připravenou. Autorizovaná osoba označení takové chyby uzná, pokud uchazeč svůj názor v diskusi zdůvodní;</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autorizovaná osoba zvolí deset nebezpečných odpadů, k jednomu z nich uchazeč připraví identifikační list. Autorizovaná osoba zajistí přístup k údajům o odpadu (internet, jiná forma informací), který uchazeč může při zpracování identifikačního listu použít;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 uchazeč zařadí podle katalogu dva odpady, z toho jeden nebezpečný.</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11:47:03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 w:hRule="exact" w:wrap="none" w:vAnchor="page" w:hAnchor="margin" w:x="0" w:y="2154"/>
        <w:rPr>
          <w:rStyle w:val="C3"/>
          <w:rtl w:val="0"/>
        </w:rPr>
      </w:pPr>
    </w:p>
    <w:p>
      <w:pPr>
        <w:pStyle w:val="P36"/>
        <w:framePr w:w="10766" w:h="17" w:hRule="exact" w:wrap="none" w:vAnchor="page" w:hAnchor="margin" w:x="0" w:y="2154"/>
        <w:rPr>
          <w:rStyle w:val="C3"/>
          <w:rtl w:val="0"/>
        </w:rPr>
      </w:pPr>
    </w:p>
    <w:p>
      <w:pPr>
        <w:pStyle w:val="P33"/>
        <w:framePr w:w="10766" w:h="1837" w:hRule="exact" w:wrap="none" w:vAnchor="page" w:hAnchor="margin" w:x="0" w:y="2398"/>
        <w:rPr>
          <w:rStyle w:val="C3"/>
          <w:rtl w:val="0"/>
        </w:rPr>
      </w:pPr>
    </w:p>
    <w:p>
      <w:pPr>
        <w:pStyle w:val="P35"/>
        <w:framePr w:w="10710" w:h="340" w:hRule="exact" w:wrap="none" w:vAnchor="page" w:hAnchor="margin" w:x="28" w:y="2398"/>
        <w:rPr>
          <w:rStyle w:val="C25"/>
          <w:rtl w:val="0"/>
        </w:rPr>
      </w:pPr>
      <w:r>
        <w:rPr>
          <w:rStyle w:val="C25"/>
          <w:rtl w:val="0"/>
        </w:rPr>
        <w:t>Výsledné hodnocení</w:t>
      </w:r>
    </w:p>
    <w:p>
      <w:pPr>
        <w:keepNext w:val="0"/>
        <w:keepLines w:val="0"/>
        <w:framePr w:w="10766" w:h="1497" w:hRule="exact" w:wrap="none" w:vAnchor="page" w:hAnchor="margin" w:x="0" w:y="2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62"/>
        <w:rPr>
          <w:rStyle w:val="C3"/>
          <w:rtl w:val="0"/>
        </w:rPr>
      </w:pPr>
    </w:p>
    <w:p>
      <w:pPr>
        <w:pStyle w:val="P35"/>
        <w:framePr w:w="10710" w:h="340" w:hRule="exact" w:wrap="none" w:vAnchor="page" w:hAnchor="margin" w:x="28" w:y="4462"/>
        <w:rPr>
          <w:rStyle w:val="C25"/>
          <w:rtl w:val="0"/>
        </w:rPr>
      </w:pPr>
      <w:r>
        <w:rPr>
          <w:rStyle w:val="C25"/>
          <w:rtl w:val="0"/>
        </w:rPr>
        <w:t>Počet zkoušejících</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16" w:hRule="exact" w:wrap="none" w:vAnchor="page" w:hAnchor="margin" w:x="0" w:y="6301"/>
        <w:rPr>
          <w:rStyle w:val="C3"/>
          <w:rtl w:val="0"/>
        </w:rPr>
      </w:pPr>
    </w:p>
    <w:p>
      <w:pPr>
        <w:pStyle w:val="P35"/>
        <w:framePr w:w="10710" w:h="547" w:hRule="exact" w:wrap="none" w:vAnchor="page" w:hAnchor="margin" w:x="28" w:y="6301"/>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minimálně 5 let praxe na pozici vyžadující odbornou způsobilost pro výkon činnosti v odpadovém hospodářství ve výrobních zařízeních nebo v zařízeních k nakládání s odpady a dále 2 roky praxe jako manažer nebo interní auditor EMS nebo QMS.</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výroby nebo chemii nebo průmyslovou ekologii a minimálně 5 let pedagogické nebo lektorské činnosti v oblasti odpadového hospodářství, vykonávané souběžně s činností v odpadovém hospodářství ve výrobních zařízeních nebo v zařízeních k nakládání s odpady (např. formou práce na projektech pro tato zařízení), a dále 2 roky praxe jako manažer nebo interní auditor EMS nebo QMS.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11:47:03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PC nebo tabletem a s připojením k internetu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•modelový registr environmentálních aspektů </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vyplnění požadovaných hlášení či posudků v písemné nebo elektronické formě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přípravy na zkoušku</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pro vykonání zkoušky</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11:47:03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11:47:03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842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F5F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2695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