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7067A0" Type="http://schemas.openxmlformats.org/officeDocument/2006/relationships/officeDocument" Target="/word/document.xml" /><Relationship Id="coreR367067A0" Type="http://schemas.openxmlformats.org/package/2006/relationships/metadata/core-properties" Target="/docProps/core.xml" /><Relationship Id="customR367067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hybridních pohonů a elektropohonů silničních motorových vozidel (kód: 23-127-M)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provozních režimech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opravy hybridního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29.11.2016 do: 27.10.2022</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27.10.2026 5:33:30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 xml:space="preserve">a) Orientovat se v pravidlech BOZP a PO souvisejících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 xml:space="preserve">b) Orientovat se v zásadách práce s nebezpečnými látkami během opravárenské 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Orientovat se v zásadách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Popsat osobní ochranné prostředky používané při opravách elektromobilů - izolační rukavice, ochranná obuv, ochranný štít, dielektrický koberec</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ověření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Popsat vybrané paragrafy 14 odst. 1 vyhlášky 50 a jejich použití při opravárenské činnosti u elektromobilů</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Písemné ověření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Orientace v technické dokumentaci automobilů s elektropohonem</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c) Najít v systému aktualizace technické dokumentace poslední platnou verzi pro vozidla s hybridním pohonem nebo elektropohonem určeného autorizovanou osobou</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d) Definovat speciální pravidla provozu servisu při přítomnosti vozidla s elektropohonem</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Ústní ověření</w:t>
      </w:r>
    </w:p>
    <w:p>
      <w:pPr>
        <w:pStyle w:val="P32"/>
        <w:framePr w:w="10710" w:h="248" w:hRule="exact" w:wrap="none" w:vAnchor="page" w:hAnchor="margin" w:x="28" w:y="117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27.10.2026 5:33:30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Definovat základní pojmy elektrotechniky a elektroniky v  osobních automobilech s  elektropohonem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Číst elektrická schémata včetně schémat kabeláže, multiplexních a logických obvodů používaných v osobních automobilech s elektropohonem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druhy a vlastnosti čidel výkonových prvků elektonických systémů používaných v osobních automobilech s elektropohonem, prokázat znalost snímačové techniky a technologie</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Orientace v konstrukci akumulátorů a jejich uložení v osobních a užitkových automobilech s elektopohonem</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376" w:hRule="exact" w:wrap="none" w:vAnchor="page" w:hAnchor="margin" w:x="45" w:y="7170"/>
        <w:rPr>
          <w:rStyle w:val="C3"/>
          <w:rtl w:val="0"/>
        </w:rPr>
      </w:pPr>
    </w:p>
    <w:p>
      <w:pPr>
        <w:pStyle w:val="P13"/>
        <w:framePr w:w="6658" w:h="249" w:hRule="exact" w:wrap="none" w:vAnchor="page" w:hAnchor="margin" w:x="71" w:y="7226"/>
        <w:rPr>
          <w:rStyle w:val="C11"/>
          <w:rtl w:val="0"/>
        </w:rPr>
      </w:pPr>
      <w:r>
        <w:rPr>
          <w:rStyle w:val="C11"/>
          <w:rtl w:val="0"/>
        </w:rPr>
        <w:t>a) Popsat konstrukci, údržbu a výhody a nevýhody olověných akumulátorů</w:t>
      </w:r>
    </w:p>
    <w:p>
      <w:pPr>
        <w:pStyle w:val="P28"/>
        <w:framePr w:w="3921" w:h="376" w:hRule="exact" w:wrap="none" w:vAnchor="page" w:hAnchor="margin" w:x="6800" w:y="7170"/>
        <w:rPr>
          <w:rStyle w:val="C3"/>
          <w:rtl w:val="0"/>
        </w:rPr>
      </w:pPr>
    </w:p>
    <w:p>
      <w:pPr>
        <w:pStyle w:val="P29"/>
        <w:framePr w:w="3839" w:h="249" w:hRule="exact" w:wrap="none" w:vAnchor="page" w:hAnchor="margin" w:x="6856" w:y="7226"/>
        <w:rPr>
          <w:rStyle w:val="C21"/>
          <w:rtl w:val="0"/>
        </w:rPr>
      </w:pPr>
      <w:r>
        <w:rPr>
          <w:rStyle w:val="C21"/>
          <w:rtl w:val="0"/>
        </w:rPr>
        <w:t>Písemné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Popsat konstrukci, údržbu a výhody a nevýhody nikl-kadmiových akumulátorů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Písemné ověření</w:t>
      </w:r>
    </w:p>
    <w:p>
      <w:pPr>
        <w:pStyle w:val="P12"/>
        <w:framePr w:w="6710" w:h="376" w:hRule="exact" w:wrap="none" w:vAnchor="page" w:hAnchor="margin" w:x="45" w:y="8153"/>
        <w:rPr>
          <w:rStyle w:val="C3"/>
          <w:rtl w:val="0"/>
        </w:rPr>
      </w:pPr>
    </w:p>
    <w:p>
      <w:pPr>
        <w:pStyle w:val="P13"/>
        <w:framePr w:w="6658" w:h="249" w:hRule="exact" w:wrap="none" w:vAnchor="page" w:hAnchor="margin" w:x="71" w:y="8209"/>
        <w:rPr>
          <w:rStyle w:val="C11"/>
          <w:rtl w:val="0"/>
        </w:rPr>
      </w:pPr>
      <w:r>
        <w:rPr>
          <w:rStyle w:val="C11"/>
          <w:rtl w:val="0"/>
        </w:rPr>
        <w:t>c) Popsat konstrukci, údržbu a výhody a nevýhody nikl-metal akumulátorů</w:t>
      </w:r>
    </w:p>
    <w:p>
      <w:pPr>
        <w:pStyle w:val="P28"/>
        <w:framePr w:w="3921" w:h="376" w:hRule="exact" w:wrap="none" w:vAnchor="page" w:hAnchor="margin" w:x="6800" w:y="8153"/>
        <w:rPr>
          <w:rStyle w:val="C3"/>
          <w:rtl w:val="0"/>
        </w:rPr>
      </w:pPr>
    </w:p>
    <w:p>
      <w:pPr>
        <w:pStyle w:val="P29"/>
        <w:framePr w:w="3839" w:h="249" w:hRule="exact" w:wrap="none" w:vAnchor="page" w:hAnchor="margin" w:x="6856" w:y="8209"/>
        <w:rPr>
          <w:rStyle w:val="C21"/>
          <w:rtl w:val="0"/>
        </w:rPr>
      </w:pPr>
      <w:r>
        <w:rPr>
          <w:rStyle w:val="C21"/>
          <w:rtl w:val="0"/>
        </w:rPr>
        <w:t>Písemné ověření</w:t>
      </w:r>
    </w:p>
    <w:p>
      <w:pPr>
        <w:pStyle w:val="P16"/>
        <w:framePr w:w="6710" w:h="607" w:hRule="exact" w:wrap="none" w:vAnchor="page" w:hAnchor="margin" w:x="45" w:y="8529"/>
        <w:rPr>
          <w:rStyle w:val="C3"/>
          <w:rtl w:val="0"/>
        </w:rPr>
      </w:pPr>
    </w:p>
    <w:p>
      <w:pPr>
        <w:pStyle w:val="P17"/>
        <w:framePr w:w="6658" w:h="480" w:hRule="exact" w:wrap="none" w:vAnchor="page" w:hAnchor="margin" w:x="71" w:y="8585"/>
        <w:rPr>
          <w:rStyle w:val="C13"/>
          <w:rtl w:val="0"/>
        </w:rPr>
      </w:pPr>
      <w:r>
        <w:rPr>
          <w:rStyle w:val="C13"/>
          <w:rtl w:val="0"/>
        </w:rPr>
        <w:t>d) Popsat konstrukci, údržbu a výhody a nevýhody akumulátorů: lithium-ion, li-ion, lithium-ON, LiFePO4</w:t>
      </w:r>
    </w:p>
    <w:p>
      <w:pPr>
        <w:pStyle w:val="P30"/>
        <w:framePr w:w="3921" w:h="607" w:hRule="exact" w:wrap="none" w:vAnchor="page" w:hAnchor="margin" w:x="6800" w:y="8529"/>
        <w:rPr>
          <w:rStyle w:val="C3"/>
          <w:rtl w:val="0"/>
        </w:rPr>
      </w:pPr>
    </w:p>
    <w:p>
      <w:pPr>
        <w:pStyle w:val="P31"/>
        <w:framePr w:w="3839" w:h="480" w:hRule="exact" w:wrap="none" w:vAnchor="page" w:hAnchor="margin" w:x="6856" w:y="8585"/>
        <w:rPr>
          <w:rStyle w:val="C22"/>
          <w:rtl w:val="0"/>
        </w:rPr>
      </w:pPr>
      <w:r>
        <w:rPr>
          <w:rStyle w:val="C22"/>
          <w:rtl w:val="0"/>
        </w:rPr>
        <w:t>Písemné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e) Popsat battery pack, jeho umístění, konstrukci a propojování jednotlivých článků v jeden celek</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Písemné ověření</w:t>
      </w:r>
    </w:p>
    <w:p>
      <w:pPr>
        <w:pStyle w:val="P32"/>
        <w:framePr w:w="10710" w:h="248" w:hRule="exact" w:wrap="none" w:vAnchor="page" w:hAnchor="margin" w:x="28" w:y="9856"/>
        <w:rPr>
          <w:rStyle w:val="C23"/>
          <w:rtl w:val="0"/>
        </w:rPr>
      </w:pPr>
      <w:r>
        <w:rPr>
          <w:rStyle w:val="C23"/>
          <w:rtl w:val="0"/>
        </w:rPr>
        <w:t>Je třeba splnit všechna kritéria.</w:t>
      </w:r>
    </w:p>
    <w:p>
      <w:pPr>
        <w:pStyle w:val="P23"/>
        <w:framePr w:w="10710" w:h="340" w:hRule="exact" w:wrap="none" w:vAnchor="page" w:hAnchor="margin" w:x="28" w:y="10292"/>
        <w:rPr>
          <w:rStyle w:val="C18"/>
          <w:rtl w:val="0"/>
        </w:rPr>
      </w:pPr>
      <w:r>
        <w:rPr>
          <w:rStyle w:val="C18"/>
          <w:rtl w:val="0"/>
        </w:rPr>
        <w:t>Diagnostika dobíjení akumulátorů</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činnost rekuperace (interního dobíjení během jízdy)</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4"/>
        <w:rPr>
          <w:rStyle w:val="C3"/>
          <w:rtl w:val="0"/>
        </w:rPr>
      </w:pPr>
    </w:p>
    <w:p>
      <w:pPr>
        <w:pStyle w:val="P17"/>
        <w:framePr w:w="6658" w:h="480" w:hRule="exact" w:wrap="none" w:vAnchor="page" w:hAnchor="margin" w:x="71" w:y="11540"/>
        <w:rPr>
          <w:rStyle w:val="C13"/>
          <w:rtl w:val="0"/>
        </w:rPr>
      </w:pPr>
      <w:r>
        <w:rPr>
          <w:rStyle w:val="C13"/>
          <w:rtl w:val="0"/>
        </w:rPr>
        <w:t>b) Popsat činnost externích nabíječek, činnost a druhy, rozdíly a výhody/nevýhody</w:t>
      </w:r>
    </w:p>
    <w:p>
      <w:pPr>
        <w:pStyle w:val="P30"/>
        <w:framePr w:w="3921" w:h="607" w:hRule="exact" w:wrap="none" w:vAnchor="page" w:hAnchor="margin" w:x="6800" w:y="11484"/>
        <w:rPr>
          <w:rStyle w:val="C3"/>
          <w:rtl w:val="0"/>
        </w:rPr>
      </w:pPr>
    </w:p>
    <w:p>
      <w:pPr>
        <w:pStyle w:val="P31"/>
        <w:framePr w:w="3839" w:h="480" w:hRule="exact" w:wrap="none" w:vAnchor="page" w:hAnchor="margin" w:x="6856" w:y="11540"/>
        <w:rPr>
          <w:rStyle w:val="C22"/>
          <w:rtl w:val="0"/>
        </w:rPr>
      </w:pPr>
      <w:r>
        <w:rPr>
          <w:rStyle w:val="C22"/>
          <w:rtl w:val="0"/>
        </w:rPr>
        <w:t>Ústní ověření</w:t>
      </w:r>
    </w:p>
    <w:p>
      <w:pPr>
        <w:pStyle w:val="P12"/>
        <w:framePr w:w="6710" w:h="376" w:hRule="exact" w:wrap="none" w:vAnchor="page" w:hAnchor="margin" w:x="45" w:y="12091"/>
        <w:rPr>
          <w:rStyle w:val="C3"/>
          <w:rtl w:val="0"/>
        </w:rPr>
      </w:pPr>
    </w:p>
    <w:p>
      <w:pPr>
        <w:pStyle w:val="P13"/>
        <w:framePr w:w="6658" w:h="249" w:hRule="exact" w:wrap="none" w:vAnchor="page" w:hAnchor="margin" w:x="71" w:y="12147"/>
        <w:rPr>
          <w:rStyle w:val="C11"/>
          <w:rtl w:val="0"/>
        </w:rPr>
      </w:pPr>
      <w:r>
        <w:rPr>
          <w:rStyle w:val="C11"/>
          <w:rtl w:val="0"/>
        </w:rPr>
        <w:t>c) Popsat kombinovanou zástrčku CCS /Combined charging system/</w:t>
      </w:r>
    </w:p>
    <w:p>
      <w:pPr>
        <w:pStyle w:val="P28"/>
        <w:framePr w:w="3921" w:h="376" w:hRule="exact" w:wrap="none" w:vAnchor="page" w:hAnchor="margin" w:x="6800" w:y="12091"/>
        <w:rPr>
          <w:rStyle w:val="C3"/>
          <w:rtl w:val="0"/>
        </w:rPr>
      </w:pPr>
    </w:p>
    <w:p>
      <w:pPr>
        <w:pStyle w:val="P29"/>
        <w:framePr w:w="3839" w:h="249" w:hRule="exact" w:wrap="none" w:vAnchor="page" w:hAnchor="margin" w:x="6856" w:y="12147"/>
        <w:rPr>
          <w:rStyle w:val="C21"/>
          <w:rtl w:val="0"/>
        </w:rPr>
      </w:pPr>
      <w:r>
        <w:rPr>
          <w:rStyle w:val="C21"/>
          <w:rtl w:val="0"/>
        </w:rPr>
        <w:t>Písemné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Předvést připojení vozidla na externí nabíjení (wallbox a sériově dodanou nabíječku k vozidlu)</w:t>
      </w:r>
    </w:p>
    <w:p>
      <w:pPr>
        <w:pStyle w:val="P30"/>
        <w:framePr w:w="3921" w:h="607" w:hRule="exact" w:wrap="none" w:vAnchor="page" w:hAnchor="margin" w:x="6800" w:y="12467"/>
        <w:rPr>
          <w:rStyle w:val="C3"/>
          <w:rtl w:val="0"/>
        </w:rPr>
      </w:pPr>
    </w:p>
    <w:p>
      <w:pPr>
        <w:pStyle w:val="P31"/>
        <w:framePr w:w="3839" w:h="480" w:hRule="exact" w:wrap="none" w:vAnchor="page" w:hAnchor="margin" w:x="6856" w:y="12523"/>
        <w:rPr>
          <w:rStyle w:val="C22"/>
          <w:rtl w:val="0"/>
        </w:rPr>
      </w:pPr>
      <w:r>
        <w:rPr>
          <w:rStyle w:val="C22"/>
          <w:rtl w:val="0"/>
        </w:rPr>
        <w:t>Praktické předvedení</w:t>
      </w:r>
    </w:p>
    <w:p>
      <w:pPr>
        <w:pStyle w:val="P12"/>
        <w:framePr w:w="6710" w:h="376" w:hRule="exact" w:wrap="none" w:vAnchor="page" w:hAnchor="margin" w:x="45" w:y="13074"/>
        <w:rPr>
          <w:rStyle w:val="C3"/>
          <w:rtl w:val="0"/>
        </w:rPr>
      </w:pPr>
    </w:p>
    <w:p>
      <w:pPr>
        <w:pStyle w:val="P13"/>
        <w:framePr w:w="6658" w:h="249" w:hRule="exact" w:wrap="none" w:vAnchor="page" w:hAnchor="margin" w:x="71" w:y="13130"/>
        <w:rPr>
          <w:rStyle w:val="C11"/>
          <w:rtl w:val="0"/>
        </w:rPr>
      </w:pPr>
      <w:r>
        <w:rPr>
          <w:rStyle w:val="C11"/>
          <w:rtl w:val="0"/>
        </w:rPr>
        <w:t>e) Uvést vozidlo do beznapěťového stavu</w:t>
      </w:r>
    </w:p>
    <w:p>
      <w:pPr>
        <w:pStyle w:val="P28"/>
        <w:framePr w:w="3921" w:h="376" w:hRule="exact" w:wrap="none" w:vAnchor="page" w:hAnchor="margin" w:x="6800" w:y="13074"/>
        <w:rPr>
          <w:rStyle w:val="C3"/>
          <w:rtl w:val="0"/>
        </w:rPr>
      </w:pPr>
    </w:p>
    <w:p>
      <w:pPr>
        <w:pStyle w:val="P29"/>
        <w:framePr w:w="3839" w:h="249" w:hRule="exact" w:wrap="none" w:vAnchor="page" w:hAnchor="margin" w:x="6856" w:y="13130"/>
        <w:rPr>
          <w:rStyle w:val="C21"/>
          <w:rtl w:val="0"/>
        </w:rPr>
      </w:pPr>
      <w:r>
        <w:rPr>
          <w:rStyle w:val="C21"/>
          <w:rtl w:val="0"/>
        </w:rPr>
        <w:t>Praktické předvedení</w:t>
      </w:r>
    </w:p>
    <w:p>
      <w:pPr>
        <w:pStyle w:val="P16"/>
        <w:framePr w:w="6710" w:h="607" w:hRule="exact" w:wrap="none" w:vAnchor="page" w:hAnchor="margin" w:x="45" w:y="13450"/>
        <w:rPr>
          <w:rStyle w:val="C3"/>
          <w:rtl w:val="0"/>
        </w:rPr>
      </w:pPr>
    </w:p>
    <w:p>
      <w:pPr>
        <w:pStyle w:val="P17"/>
        <w:framePr w:w="6658" w:h="480" w:hRule="exact" w:wrap="none" w:vAnchor="page" w:hAnchor="margin" w:x="71" w:y="13506"/>
        <w:rPr>
          <w:rStyle w:val="C13"/>
          <w:rtl w:val="0"/>
        </w:rPr>
      </w:pPr>
      <w:r>
        <w:rPr>
          <w:rStyle w:val="C13"/>
          <w:rtl w:val="0"/>
        </w:rPr>
        <w:t>f) Zkontrolovat správnost a skutečnou přítomnost beznapěťového stavu předepsaným měřením s pomocí diagnostického přístroje</w:t>
      </w:r>
    </w:p>
    <w:p>
      <w:pPr>
        <w:pStyle w:val="P30"/>
        <w:framePr w:w="3921" w:h="607" w:hRule="exact" w:wrap="none" w:vAnchor="page" w:hAnchor="margin" w:x="6800" w:y="13450"/>
        <w:rPr>
          <w:rStyle w:val="C3"/>
          <w:rtl w:val="0"/>
        </w:rPr>
      </w:pPr>
    </w:p>
    <w:p>
      <w:pPr>
        <w:pStyle w:val="P31"/>
        <w:framePr w:w="3839" w:h="480" w:hRule="exact" w:wrap="none" w:vAnchor="page" w:hAnchor="margin" w:x="6856" w:y="13506"/>
        <w:rPr>
          <w:rStyle w:val="C22"/>
          <w:rtl w:val="0"/>
        </w:rPr>
      </w:pPr>
      <w:r>
        <w:rPr>
          <w:rStyle w:val="C22"/>
          <w:rtl w:val="0"/>
        </w:rPr>
        <w:t>Praktické předvedení</w:t>
      </w:r>
    </w:p>
    <w:p>
      <w:pPr>
        <w:pStyle w:val="P12"/>
        <w:framePr w:w="6710" w:h="607" w:hRule="exact" w:wrap="none" w:vAnchor="page" w:hAnchor="margin" w:x="45" w:y="14057"/>
        <w:rPr>
          <w:rStyle w:val="C3"/>
          <w:rtl w:val="0"/>
        </w:rPr>
      </w:pPr>
    </w:p>
    <w:p>
      <w:pPr>
        <w:pStyle w:val="P13"/>
        <w:framePr w:w="6658" w:h="480" w:hRule="exact" w:wrap="none" w:vAnchor="page" w:hAnchor="margin" w:x="71" w:y="14113"/>
        <w:rPr>
          <w:rStyle w:val="C11"/>
          <w:rtl w:val="0"/>
        </w:rPr>
      </w:pPr>
      <w:r>
        <w:rPr>
          <w:rStyle w:val="C11"/>
          <w:rtl w:val="0"/>
        </w:rPr>
        <w:t>g) Předvést postup při zajištění vozidla proti náhodnému či nechtěnému znovuobnovení napětí na VN systému neoprávněnou osobou</w:t>
      </w:r>
    </w:p>
    <w:p>
      <w:pPr>
        <w:pStyle w:val="P28"/>
        <w:framePr w:w="3921" w:h="607" w:hRule="exact" w:wrap="none" w:vAnchor="page" w:hAnchor="margin" w:x="6800" w:y="14057"/>
        <w:rPr>
          <w:rStyle w:val="C3"/>
          <w:rtl w:val="0"/>
        </w:rPr>
      </w:pPr>
    </w:p>
    <w:p>
      <w:pPr>
        <w:pStyle w:val="P29"/>
        <w:framePr w:w="3839" w:h="480" w:hRule="exact" w:wrap="none" w:vAnchor="page" w:hAnchor="margin" w:x="6856" w:y="14113"/>
        <w:rPr>
          <w:rStyle w:val="C21"/>
          <w:rtl w:val="0"/>
        </w:rPr>
      </w:pPr>
      <w:r>
        <w:rPr>
          <w:rStyle w:val="C21"/>
          <w:rtl w:val="0"/>
        </w:rPr>
        <w:t>Praktické předvedení a ústní ověření</w:t>
      </w:r>
    </w:p>
    <w:p>
      <w:pPr>
        <w:pStyle w:val="P32"/>
        <w:framePr w:w="10710" w:h="248" w:hRule="exact" w:wrap="none" w:vAnchor="page" w:hAnchor="margin" w:x="28" w:y="14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27.10.2026 5:33:30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 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 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 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činnost, koncepci, uspořádání a využitelnost dvou rozdílných pohonných jednotek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jízdu s využitím spalovacího motoru, resp. elektromotoru, výhody, nevýhody, emise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rekuperaci</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činnost silničních motorových vozidel s pohonem: mikro hybrid, mild hybrid a full hybrid</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Popsat systém KERS (KINETIC ENERGY RECOVERY SYSTEM)</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Písemné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Orientace v provozních režimech hybridních pohonů silničních motorových vozidel</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funkci pohonu vozidla s mikrohybridním pohonem</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Popsat funkci pohonu vozidla s mildhybridním pohonem</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c) Popsat funkci pohonu vozidla s fullhybridním pohonem</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Popsat konstrukci a přincip činnosti rekuperace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27.10.2026 5:33:30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hybridního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vozidle s elektropohonem, typ určí autorizovaná osoba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spojených s mikrohybridním systémem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funce řídicí jednotky, napětí akumulátorů, dobíjecího napětí, systému start-stop na vozidle určeném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Provést přípravu na uvedení vozidla do beznapěťového stavu, vytištění a vyplnění předepsaných protokolů, označení hybridního vozidla na dílně, ve spolupráci s autorizovanou osobou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Provést kroky vedoucí k ověření beznapěťového stavu vozidla, možná rizika, jejich popis, aktivace, zapojení a nastavení předepsané měřicí techniky, ve spolupráci s autorizovanou osobou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Popsat činnost technika při příjmu vozidla s elektropohonem v servisu po dopravní nehodě (zajištění požární bezpečnosti, umístění vozidla do karanténní zóny v areálu servisu podle platných vnitřních směrnic provozu)</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27.10.2026 5:33:30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http://katalog.nsp.cz/karta_p.aspx?id_jp=30380&amp;kod_sm1=37).</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 automechanik, autoelektrikář nebo odpovídající profesní nebo úplné kvalifikace, řidičské oprávnění B, elektrotechnická způsobilost zkoušených musí odpovídat vyhl. 1978/50 Sb., minimálně podle par. 6</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127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27.10.2026 5:33:30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autorizaci. Držitel osvědčení o zkoušce z platné vyhlášky 50/1978, paragraf min. 6.</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Držitel osvědčení o zkoušce z platné vyhlášky 50/1978, paragraf min. 6.</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Držitel osvědčení o zkoušce z platné vyhlášky 50/1978, paragraf min. 6.</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27.10.2026 5:33:30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běžné pracovní pomůcky + speciální ochranné pomůcky stanovené výrobcem vozu při pracích na vysokonapěťových systémech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nejlépe 1x hybridní pohon + 1x elektropohon</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multimetr, klešťový ampérmetr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PŘESNĚ dle dokumentace a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36"/>
        <w:rPr>
          <w:rStyle w:val="C3"/>
          <w:rtl w:val="0"/>
        </w:rPr>
      </w:pPr>
    </w:p>
    <w:p>
      <w:pPr>
        <w:pStyle w:val="P35"/>
        <w:framePr w:w="10710" w:h="340" w:hRule="exact" w:wrap="none" w:vAnchor="page" w:hAnchor="margin" w:x="28" w:y="11236"/>
        <w:rPr>
          <w:rStyle w:val="C25"/>
          <w:rtl w:val="0"/>
        </w:rPr>
      </w:pPr>
      <w:r>
        <w:rPr>
          <w:rStyle w:val="C25"/>
          <w:rtl w:val="0"/>
        </w:rPr>
        <w:t>Doba přípravy na zkoušku</w:t>
      </w:r>
    </w:p>
    <w:p>
      <w:pPr>
        <w:keepNext w:val="0"/>
        <w:keepLines w:val="0"/>
        <w:framePr w:w="10766" w:h="1036" w:hRule="exact" w:wrap="none" w:vAnchor="page" w:hAnchor="margin" w:x="0" w:y="11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27.10.2026 5:33:30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331" w:hRule="exact" w:wrap="none" w:vAnchor="page" w:hAnchor="margin" w:x="28" w:y="15940"/>
        <w:rPr>
          <w:rStyle w:val="C16"/>
          <w:rtl w:val="0"/>
        </w:rPr>
      </w:pPr>
      <w:r>
        <w:rPr>
          <w:rStyle w:val="C16"/>
          <w:rtl w:val="0"/>
        </w:rPr>
        <w:t>Autotronik hybridních pohonů a elektropohonů silničních motorových vozidel, 27.10.2026 5:33:30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CD54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1103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