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3A126" Type="http://schemas.openxmlformats.org/officeDocument/2006/relationships/officeDocument" Target="/word/document.xml" /><Relationship Id="coreR7213A126" Type="http://schemas.openxmlformats.org/package/2006/relationships/metadata/core-properties" Target="/docProps/core.xml" /><Relationship Id="customR7213A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Degustace vín při prodeji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06.02.2012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1.11.2026 0:49:46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souladu s platnými právními předpisy.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 / autorizovaný zástupce předem připraví a rozpracuje na základě daných kritérií.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1.11.2026 0:49:46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 ve spolupráci se SR pro zemědělství.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Vinařská akademie Valtice,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1.11.2026 0:49:46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